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2438"/>
        <w:gridCol w:w="6406"/>
      </w:tblGrid>
      <w:tr w:rsidR="00526C26" w:rsidRPr="00975B07" w14:paraId="31EEEA53" w14:textId="77777777" w:rsidTr="00823281">
        <w:tc>
          <w:tcPr>
            <w:tcW w:w="2438" w:type="dxa"/>
            <w:shd w:val="clear" w:color="auto" w:fill="auto"/>
          </w:tcPr>
          <w:p w14:paraId="0A8254D3" w14:textId="77777777" w:rsidR="00526C26" w:rsidRPr="00975B07" w:rsidRDefault="00526C26" w:rsidP="0062633F">
            <w:pPr>
              <w:spacing w:after="120"/>
              <w:rPr>
                <w:rStyle w:val="Firstpagetablebold"/>
              </w:rPr>
            </w:pPr>
            <w:r>
              <w:rPr>
                <w:rStyle w:val="Firstpagetablebold"/>
              </w:rPr>
              <w:t>Officer report t</w:t>
            </w:r>
            <w:r w:rsidRPr="00975B07">
              <w:rPr>
                <w:rStyle w:val="Firstpagetablebold"/>
              </w:rPr>
              <w:t>o:</w:t>
            </w:r>
          </w:p>
        </w:tc>
        <w:tc>
          <w:tcPr>
            <w:tcW w:w="6406" w:type="dxa"/>
            <w:shd w:val="clear" w:color="auto" w:fill="auto"/>
          </w:tcPr>
          <w:p w14:paraId="44FCD11C" w14:textId="77777777" w:rsidR="00526C26" w:rsidRPr="00F95BC9" w:rsidRDefault="00526C26" w:rsidP="0062633F">
            <w:pPr>
              <w:spacing w:after="120"/>
              <w:rPr>
                <w:rStyle w:val="Firstpagetablebold"/>
              </w:rPr>
            </w:pPr>
            <w:r>
              <w:rPr>
                <w:rStyle w:val="Firstpagetablebold"/>
              </w:rPr>
              <w:t>Council</w:t>
            </w:r>
          </w:p>
        </w:tc>
      </w:tr>
      <w:tr w:rsidR="00526C26" w:rsidRPr="00975B07" w14:paraId="5D6E08EA" w14:textId="77777777" w:rsidTr="00823281">
        <w:tc>
          <w:tcPr>
            <w:tcW w:w="2438" w:type="dxa"/>
            <w:shd w:val="clear" w:color="auto" w:fill="auto"/>
          </w:tcPr>
          <w:p w14:paraId="35A0531C" w14:textId="77777777" w:rsidR="00526C26" w:rsidRPr="00975B07" w:rsidRDefault="00526C26" w:rsidP="0062633F">
            <w:pPr>
              <w:spacing w:after="120"/>
              <w:rPr>
                <w:rStyle w:val="Firstpagetablebold"/>
              </w:rPr>
            </w:pPr>
            <w:r w:rsidRPr="00975B07">
              <w:rPr>
                <w:rStyle w:val="Firstpagetablebold"/>
              </w:rPr>
              <w:t>Date:</w:t>
            </w:r>
          </w:p>
        </w:tc>
        <w:tc>
          <w:tcPr>
            <w:tcW w:w="6406" w:type="dxa"/>
            <w:shd w:val="clear" w:color="auto" w:fill="auto"/>
          </w:tcPr>
          <w:p w14:paraId="62A134A8" w14:textId="49E5F120" w:rsidR="00526C26" w:rsidRPr="001356F1" w:rsidRDefault="00526C26" w:rsidP="0062633F">
            <w:pPr>
              <w:spacing w:after="120"/>
              <w:rPr>
                <w:b/>
              </w:rPr>
            </w:pPr>
            <w:r>
              <w:rPr>
                <w:rStyle w:val="Firstpagetablebold"/>
              </w:rPr>
              <w:t>14 February 2018</w:t>
            </w:r>
          </w:p>
        </w:tc>
      </w:tr>
      <w:tr w:rsidR="00526C26" w:rsidRPr="00975B07" w14:paraId="3D27AB44" w14:textId="77777777" w:rsidTr="00823281">
        <w:tc>
          <w:tcPr>
            <w:tcW w:w="2438" w:type="dxa"/>
            <w:shd w:val="clear" w:color="auto" w:fill="auto"/>
          </w:tcPr>
          <w:p w14:paraId="6158EAD2" w14:textId="6D6CB02E" w:rsidR="00526C26" w:rsidRPr="00975B07" w:rsidRDefault="00526C26" w:rsidP="0062633F">
            <w:pPr>
              <w:spacing w:after="120"/>
              <w:rPr>
                <w:rStyle w:val="Firstpagetablebold"/>
              </w:rPr>
            </w:pPr>
          </w:p>
        </w:tc>
        <w:tc>
          <w:tcPr>
            <w:tcW w:w="6406" w:type="dxa"/>
            <w:shd w:val="clear" w:color="auto" w:fill="auto"/>
          </w:tcPr>
          <w:p w14:paraId="2B35771F" w14:textId="15604653" w:rsidR="00526C26" w:rsidRPr="001356F1" w:rsidRDefault="00526C26" w:rsidP="0062633F">
            <w:pPr>
              <w:spacing w:after="120"/>
              <w:rPr>
                <w:rStyle w:val="Firstpagetablebold"/>
              </w:rPr>
            </w:pPr>
          </w:p>
        </w:tc>
      </w:tr>
      <w:tr w:rsidR="00526C26" w:rsidRPr="00975B07" w14:paraId="1FC025F6" w14:textId="77777777" w:rsidTr="00823281">
        <w:tc>
          <w:tcPr>
            <w:tcW w:w="2438" w:type="dxa"/>
            <w:shd w:val="clear" w:color="auto" w:fill="auto"/>
          </w:tcPr>
          <w:p w14:paraId="35E222BA" w14:textId="77777777" w:rsidR="00526C26" w:rsidRPr="00975B07" w:rsidRDefault="00526C26" w:rsidP="0062633F">
            <w:pPr>
              <w:spacing w:after="120"/>
              <w:rPr>
                <w:rStyle w:val="Firstpagetablebold"/>
              </w:rPr>
            </w:pPr>
            <w:r w:rsidRPr="00975B07">
              <w:rPr>
                <w:rStyle w:val="Firstpagetablebold"/>
              </w:rPr>
              <w:t xml:space="preserve">Title of Report: </w:t>
            </w:r>
          </w:p>
        </w:tc>
        <w:tc>
          <w:tcPr>
            <w:tcW w:w="6406" w:type="dxa"/>
            <w:shd w:val="clear" w:color="auto" w:fill="auto"/>
          </w:tcPr>
          <w:p w14:paraId="6B713B33" w14:textId="77777777" w:rsidR="00526C26" w:rsidRPr="00526C26" w:rsidRDefault="00526C26" w:rsidP="0062633F">
            <w:pPr>
              <w:spacing w:after="120"/>
              <w:rPr>
                <w:rStyle w:val="Firstpagetablebold"/>
              </w:rPr>
            </w:pPr>
            <w:r w:rsidRPr="00526C26">
              <w:rPr>
                <w:rStyle w:val="Firstpagetablebold"/>
              </w:rPr>
              <w:t>COMMON REPORT TO COUNCILS</w:t>
            </w:r>
          </w:p>
          <w:p w14:paraId="3F5AF6F0" w14:textId="71F90843" w:rsidR="00526C26" w:rsidRPr="001356F1" w:rsidRDefault="00526C26" w:rsidP="0062633F">
            <w:pPr>
              <w:spacing w:after="120"/>
              <w:rPr>
                <w:rStyle w:val="Firstpagetablebold"/>
              </w:rPr>
            </w:pPr>
            <w:r w:rsidRPr="00526C26">
              <w:rPr>
                <w:rStyle w:val="Firstpagetablebold"/>
              </w:rPr>
              <w:t>OXFORDSHIRE HOUSING AND GROWTH DEAL</w:t>
            </w:r>
          </w:p>
        </w:tc>
      </w:tr>
    </w:tbl>
    <w:p w14:paraId="297D20DD" w14:textId="77777777" w:rsidR="00526C26" w:rsidRDefault="00526C26" w:rsidP="0062633F">
      <w:pPr>
        <w:spacing w:after="120"/>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762"/>
        <w:gridCol w:w="6169"/>
      </w:tblGrid>
      <w:tr w:rsidR="00526C26" w14:paraId="215EB634" w14:textId="77777777" w:rsidTr="00823281">
        <w:tc>
          <w:tcPr>
            <w:tcW w:w="8931" w:type="dxa"/>
            <w:gridSpan w:val="2"/>
            <w:tcBorders>
              <w:bottom w:val="single" w:sz="8" w:space="0" w:color="000000"/>
            </w:tcBorders>
            <w:hideMark/>
          </w:tcPr>
          <w:p w14:paraId="4062979A" w14:textId="77777777" w:rsidR="00526C26" w:rsidRDefault="00526C26" w:rsidP="0062633F">
            <w:pPr>
              <w:spacing w:after="120"/>
              <w:jc w:val="center"/>
              <w:rPr>
                <w:rStyle w:val="Firstpagetablebold"/>
              </w:rPr>
            </w:pPr>
            <w:r>
              <w:rPr>
                <w:rStyle w:val="Firstpagetablebold"/>
              </w:rPr>
              <w:t>Summary and recommendations</w:t>
            </w:r>
          </w:p>
        </w:tc>
      </w:tr>
      <w:tr w:rsidR="00526C26" w14:paraId="41A17D3D" w14:textId="77777777" w:rsidTr="00823281">
        <w:tc>
          <w:tcPr>
            <w:tcW w:w="2762" w:type="dxa"/>
            <w:tcBorders>
              <w:top w:val="single" w:sz="8" w:space="0" w:color="000000"/>
              <w:left w:val="single" w:sz="8" w:space="0" w:color="000000"/>
              <w:bottom w:val="nil"/>
              <w:right w:val="nil"/>
            </w:tcBorders>
            <w:hideMark/>
          </w:tcPr>
          <w:p w14:paraId="4980B8C4" w14:textId="77777777" w:rsidR="00526C26" w:rsidRDefault="00526C26" w:rsidP="0062633F">
            <w:pPr>
              <w:spacing w:after="120"/>
              <w:rPr>
                <w:rStyle w:val="Firstpagetablebold"/>
              </w:rPr>
            </w:pPr>
            <w:r>
              <w:rPr>
                <w:rStyle w:val="Firstpagetablebold"/>
              </w:rPr>
              <w:t>Purpose of report:</w:t>
            </w:r>
          </w:p>
        </w:tc>
        <w:tc>
          <w:tcPr>
            <w:tcW w:w="6169" w:type="dxa"/>
            <w:tcBorders>
              <w:top w:val="single" w:sz="8" w:space="0" w:color="000000"/>
              <w:left w:val="nil"/>
              <w:bottom w:val="nil"/>
              <w:right w:val="single" w:sz="8" w:space="0" w:color="000000"/>
            </w:tcBorders>
            <w:hideMark/>
          </w:tcPr>
          <w:p w14:paraId="6A3D02CE" w14:textId="342B57B2" w:rsidR="00526C26" w:rsidRPr="001356F1" w:rsidRDefault="00907BF9" w:rsidP="0062633F">
            <w:pPr>
              <w:spacing w:after="120"/>
            </w:pPr>
            <w:r w:rsidRPr="003048F2">
              <w:rPr>
                <w:rFonts w:cs="Arial"/>
                <w:szCs w:val="24"/>
              </w:rPr>
              <w:t>To consider the Oxfordshire Housing and Growth Deal</w:t>
            </w:r>
            <w:r>
              <w:rPr>
                <w:rFonts w:cs="Arial"/>
                <w:szCs w:val="24"/>
              </w:rPr>
              <w:t xml:space="preserve">(the Deal) </w:t>
            </w:r>
            <w:r w:rsidRPr="003048F2">
              <w:rPr>
                <w:rFonts w:cs="Arial"/>
                <w:szCs w:val="24"/>
              </w:rPr>
              <w:t>announced by Government in the November Budget, which provi</w:t>
            </w:r>
            <w:r>
              <w:rPr>
                <w:rFonts w:cs="Arial"/>
                <w:szCs w:val="24"/>
              </w:rPr>
              <w:t>des £215 million of additional G</w:t>
            </w:r>
            <w:r w:rsidRPr="003048F2">
              <w:rPr>
                <w:rFonts w:cs="Arial"/>
                <w:szCs w:val="24"/>
              </w:rPr>
              <w:t>overnment funding for Oxfordshire, along with a package of planning freedoms and flexibilities for the Oxfordshire authorities</w:t>
            </w:r>
          </w:p>
        </w:tc>
      </w:tr>
      <w:tr w:rsidR="00526C26" w14:paraId="318ACDB8" w14:textId="77777777" w:rsidTr="00823281">
        <w:tc>
          <w:tcPr>
            <w:tcW w:w="2762" w:type="dxa"/>
            <w:tcBorders>
              <w:top w:val="nil"/>
              <w:left w:val="single" w:sz="8" w:space="0" w:color="000000"/>
              <w:bottom w:val="nil"/>
              <w:right w:val="nil"/>
            </w:tcBorders>
            <w:hideMark/>
          </w:tcPr>
          <w:p w14:paraId="6B4E7648" w14:textId="77777777" w:rsidR="00526C26" w:rsidRDefault="00526C26" w:rsidP="0062633F">
            <w:pPr>
              <w:spacing w:after="120"/>
              <w:rPr>
                <w:rStyle w:val="Firstpagetablebold"/>
              </w:rPr>
            </w:pPr>
            <w:r>
              <w:rPr>
                <w:rStyle w:val="Firstpagetablebold"/>
              </w:rPr>
              <w:t>Decision required:</w:t>
            </w:r>
          </w:p>
        </w:tc>
        <w:tc>
          <w:tcPr>
            <w:tcW w:w="6169" w:type="dxa"/>
            <w:tcBorders>
              <w:top w:val="nil"/>
              <w:left w:val="nil"/>
              <w:bottom w:val="nil"/>
              <w:right w:val="single" w:sz="8" w:space="0" w:color="000000"/>
            </w:tcBorders>
            <w:hideMark/>
          </w:tcPr>
          <w:p w14:paraId="3C1CA24A" w14:textId="77777777" w:rsidR="00526C26" w:rsidRPr="001356F1" w:rsidRDefault="00526C26" w:rsidP="0062633F">
            <w:pPr>
              <w:spacing w:after="120"/>
            </w:pPr>
            <w:r>
              <w:t xml:space="preserve">Yes </w:t>
            </w:r>
          </w:p>
        </w:tc>
      </w:tr>
      <w:tr w:rsidR="00526C26" w14:paraId="02AB4154" w14:textId="77777777" w:rsidTr="00823281">
        <w:tc>
          <w:tcPr>
            <w:tcW w:w="2762" w:type="dxa"/>
            <w:tcBorders>
              <w:top w:val="nil"/>
              <w:left w:val="single" w:sz="8" w:space="0" w:color="000000"/>
              <w:bottom w:val="nil"/>
              <w:right w:val="nil"/>
            </w:tcBorders>
          </w:tcPr>
          <w:p w14:paraId="3502E7B5" w14:textId="77777777" w:rsidR="00526C26" w:rsidRDefault="00526C26" w:rsidP="0062633F">
            <w:pPr>
              <w:spacing w:after="120"/>
              <w:rPr>
                <w:rStyle w:val="Firstpagetablebold"/>
              </w:rPr>
            </w:pPr>
            <w:r>
              <w:rPr>
                <w:rStyle w:val="Firstpagetablebold"/>
              </w:rPr>
              <w:t>Corporate Priority:</w:t>
            </w:r>
          </w:p>
        </w:tc>
        <w:tc>
          <w:tcPr>
            <w:tcW w:w="6169" w:type="dxa"/>
            <w:tcBorders>
              <w:top w:val="nil"/>
              <w:left w:val="nil"/>
              <w:bottom w:val="nil"/>
              <w:right w:val="single" w:sz="8" w:space="0" w:color="000000"/>
            </w:tcBorders>
          </w:tcPr>
          <w:p w14:paraId="47C54C05" w14:textId="77777777" w:rsidR="00526C26" w:rsidRDefault="005A6D67" w:rsidP="0062633F">
            <w:pPr>
              <w:spacing w:after="120"/>
            </w:pPr>
            <w:r>
              <w:t>Meeting Housing Needs</w:t>
            </w:r>
          </w:p>
          <w:p w14:paraId="4B7FD8C1" w14:textId="3C33871A" w:rsidR="005A6D67" w:rsidRPr="001356F1" w:rsidRDefault="005A6D67" w:rsidP="0062633F">
            <w:pPr>
              <w:spacing w:after="120"/>
            </w:pPr>
            <w:r>
              <w:t>A Vibrant and Sustainable Economy</w:t>
            </w:r>
          </w:p>
        </w:tc>
      </w:tr>
      <w:tr w:rsidR="00526C26" w14:paraId="40724192" w14:textId="77777777" w:rsidTr="00823281">
        <w:tc>
          <w:tcPr>
            <w:tcW w:w="2762" w:type="dxa"/>
            <w:tcBorders>
              <w:top w:val="nil"/>
              <w:left w:val="single" w:sz="8" w:space="0" w:color="000000"/>
              <w:bottom w:val="nil"/>
              <w:right w:val="nil"/>
            </w:tcBorders>
            <w:hideMark/>
          </w:tcPr>
          <w:p w14:paraId="7EF5E57D" w14:textId="77024829" w:rsidR="00526C26" w:rsidRDefault="00526C26" w:rsidP="0062633F">
            <w:pPr>
              <w:spacing w:after="120"/>
              <w:rPr>
                <w:rStyle w:val="Firstpagetablebold"/>
              </w:rPr>
            </w:pPr>
            <w:r>
              <w:rPr>
                <w:rStyle w:val="Firstpagetablebold"/>
              </w:rPr>
              <w:t>Policy Framework:</w:t>
            </w:r>
          </w:p>
        </w:tc>
        <w:tc>
          <w:tcPr>
            <w:tcW w:w="6169" w:type="dxa"/>
            <w:tcBorders>
              <w:top w:val="nil"/>
              <w:left w:val="nil"/>
              <w:bottom w:val="nil"/>
              <w:right w:val="single" w:sz="8" w:space="0" w:color="000000"/>
            </w:tcBorders>
            <w:hideMark/>
          </w:tcPr>
          <w:p w14:paraId="3A71F289" w14:textId="77777777" w:rsidR="00526C26" w:rsidRPr="001356F1" w:rsidRDefault="00526C26" w:rsidP="0062633F">
            <w:pPr>
              <w:spacing w:after="120"/>
            </w:pPr>
            <w:r>
              <w:t>Not applicable.</w:t>
            </w:r>
          </w:p>
        </w:tc>
      </w:tr>
      <w:tr w:rsidR="00526C26" w:rsidRPr="00975B07" w14:paraId="0DECA903" w14:textId="77777777" w:rsidTr="00823281">
        <w:trPr>
          <w:trHeight w:val="413"/>
        </w:trPr>
        <w:tc>
          <w:tcPr>
            <w:tcW w:w="8931" w:type="dxa"/>
            <w:gridSpan w:val="2"/>
            <w:tcBorders>
              <w:bottom w:val="single" w:sz="4" w:space="0" w:color="000000" w:themeColor="text1"/>
            </w:tcBorders>
          </w:tcPr>
          <w:p w14:paraId="7A4A42AC" w14:textId="19494729" w:rsidR="00526C26" w:rsidRPr="00975B07" w:rsidRDefault="00526C26" w:rsidP="0062633F">
            <w:pPr>
              <w:spacing w:after="120"/>
            </w:pPr>
            <w:r>
              <w:rPr>
                <w:rStyle w:val="Firstpagetablebold"/>
              </w:rPr>
              <w:t>The recommendations for Council are set out in Section 2 of the report</w:t>
            </w:r>
          </w:p>
        </w:tc>
      </w:tr>
    </w:tbl>
    <w:p w14:paraId="1E03EB88" w14:textId="77777777" w:rsidR="00526C26" w:rsidRDefault="00526C26" w:rsidP="00526C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812"/>
      </w:tblGrid>
      <w:tr w:rsidR="00526C26" w14:paraId="36288B8B" w14:textId="77777777" w:rsidTr="0062633F">
        <w:tc>
          <w:tcPr>
            <w:tcW w:w="3119" w:type="dxa"/>
            <w:hideMark/>
          </w:tcPr>
          <w:p w14:paraId="279E6FDE" w14:textId="1CAFCFAC" w:rsidR="00526C26" w:rsidRDefault="00526C26" w:rsidP="0062633F">
            <w:pPr>
              <w:spacing w:after="120"/>
              <w:rPr>
                <w:rStyle w:val="Firstpagetablebold"/>
              </w:rPr>
            </w:pPr>
            <w:r>
              <w:rPr>
                <w:rStyle w:val="Firstpagetablebold"/>
              </w:rPr>
              <w:t>Officer responsible :</w:t>
            </w:r>
          </w:p>
        </w:tc>
        <w:tc>
          <w:tcPr>
            <w:tcW w:w="5812" w:type="dxa"/>
            <w:hideMark/>
          </w:tcPr>
          <w:p w14:paraId="04366760" w14:textId="6BBA109A" w:rsidR="00526C26" w:rsidRPr="001356F1" w:rsidRDefault="00526C26" w:rsidP="0062633F">
            <w:pPr>
              <w:spacing w:after="120"/>
            </w:pPr>
            <w:r>
              <w:t xml:space="preserve">Caroline Green, </w:t>
            </w:r>
            <w:r w:rsidR="0062633F">
              <w:t>Assistant Chief Executive</w:t>
            </w:r>
          </w:p>
        </w:tc>
      </w:tr>
      <w:tr w:rsidR="00526C26" w14:paraId="5677783B" w14:textId="77777777" w:rsidTr="0062633F">
        <w:tc>
          <w:tcPr>
            <w:tcW w:w="3119" w:type="dxa"/>
            <w:hideMark/>
          </w:tcPr>
          <w:p w14:paraId="176F7E3A" w14:textId="77777777" w:rsidR="00526C26" w:rsidRDefault="00526C26" w:rsidP="0062633F">
            <w:pPr>
              <w:spacing w:after="120"/>
              <w:rPr>
                <w:rStyle w:val="Firstpagetablebold"/>
              </w:rPr>
            </w:pPr>
            <w:r>
              <w:rPr>
                <w:rStyle w:val="Firstpagetablebold"/>
              </w:rPr>
              <w:t>Executive Board Member responsible :</w:t>
            </w:r>
          </w:p>
        </w:tc>
        <w:tc>
          <w:tcPr>
            <w:tcW w:w="5812" w:type="dxa"/>
            <w:hideMark/>
          </w:tcPr>
          <w:p w14:paraId="2B4A24EE" w14:textId="4670AD6D" w:rsidR="00526C26" w:rsidRPr="001356F1" w:rsidRDefault="00526C26" w:rsidP="0062633F">
            <w:pPr>
              <w:spacing w:after="120"/>
            </w:pPr>
            <w:r>
              <w:t xml:space="preserve">Councillor Price, </w:t>
            </w:r>
            <w:r w:rsidR="0062633F">
              <w:t>Board Member for Corporate Strategy and Economic Development and Chair of the Growth Board</w:t>
            </w:r>
          </w:p>
        </w:tc>
      </w:tr>
    </w:tbl>
    <w:p w14:paraId="082EA25E" w14:textId="77777777" w:rsidR="005824CC" w:rsidRDefault="005824CC" w:rsidP="003048F2">
      <w:pPr>
        <w:jc w:val="both"/>
        <w:rPr>
          <w:rFonts w:cs="Arial"/>
          <w:szCs w:val="24"/>
        </w:rPr>
      </w:pPr>
    </w:p>
    <w:tbl>
      <w:tblPr>
        <w:tblW w:w="0" w:type="auto"/>
        <w:tblInd w:w="108" w:type="dxa"/>
        <w:tblBorders>
          <w:top w:val="single" w:sz="8" w:space="0" w:color="000000"/>
          <w:left w:val="single" w:sz="8" w:space="0" w:color="000000"/>
          <w:bottom w:val="single" w:sz="4" w:space="0" w:color="auto"/>
          <w:right w:val="single" w:sz="8" w:space="0" w:color="000000"/>
          <w:insideH w:val="single" w:sz="8" w:space="0" w:color="000000"/>
        </w:tblBorders>
        <w:tblLook w:val="04A0" w:firstRow="1" w:lastRow="0" w:firstColumn="1" w:lastColumn="0" w:noHBand="0" w:noVBand="1"/>
      </w:tblPr>
      <w:tblGrid>
        <w:gridCol w:w="2438"/>
        <w:gridCol w:w="6493"/>
      </w:tblGrid>
      <w:tr w:rsidR="0062633F" w14:paraId="410CCC8F" w14:textId="77777777" w:rsidTr="0062633F">
        <w:tc>
          <w:tcPr>
            <w:tcW w:w="8931" w:type="dxa"/>
            <w:gridSpan w:val="2"/>
            <w:tcBorders>
              <w:top w:val="single" w:sz="8" w:space="0" w:color="000000"/>
              <w:left w:val="single" w:sz="8" w:space="0" w:color="000000"/>
              <w:bottom w:val="single" w:sz="8" w:space="0" w:color="000000"/>
              <w:right w:val="single" w:sz="8" w:space="0" w:color="000000"/>
            </w:tcBorders>
            <w:hideMark/>
          </w:tcPr>
          <w:p w14:paraId="745A2365" w14:textId="77777777" w:rsidR="0062633F" w:rsidRDefault="0062633F">
            <w:pPr>
              <w:spacing w:after="120"/>
              <w:jc w:val="center"/>
              <w:rPr>
                <w:color w:val="000000"/>
                <w:szCs w:val="24"/>
              </w:rPr>
            </w:pPr>
            <w:r>
              <w:rPr>
                <w:rStyle w:val="Firstpagetablebold"/>
              </w:rPr>
              <w:t>Appendices</w:t>
            </w:r>
          </w:p>
        </w:tc>
      </w:tr>
      <w:tr w:rsidR="00033ED4" w14:paraId="596B104E" w14:textId="77777777" w:rsidTr="00DF7F0F">
        <w:tc>
          <w:tcPr>
            <w:tcW w:w="2438" w:type="dxa"/>
            <w:tcBorders>
              <w:top w:val="single" w:sz="8" w:space="0" w:color="000000"/>
              <w:left w:val="single" w:sz="8" w:space="0" w:color="000000"/>
              <w:bottom w:val="single" w:sz="4" w:space="0" w:color="auto"/>
              <w:right w:val="nil"/>
            </w:tcBorders>
            <w:hideMark/>
          </w:tcPr>
          <w:p w14:paraId="3CA40651" w14:textId="77777777" w:rsidR="00033ED4" w:rsidRDefault="00033ED4" w:rsidP="00DF7F0F">
            <w:pPr>
              <w:spacing w:after="120"/>
              <w:rPr>
                <w:color w:val="000000"/>
                <w:szCs w:val="24"/>
              </w:rPr>
            </w:pPr>
            <w:r>
              <w:t>Appendix 1</w:t>
            </w:r>
          </w:p>
        </w:tc>
        <w:tc>
          <w:tcPr>
            <w:tcW w:w="6493" w:type="dxa"/>
            <w:tcBorders>
              <w:top w:val="single" w:sz="8" w:space="0" w:color="000000"/>
              <w:left w:val="nil"/>
              <w:bottom w:val="single" w:sz="4" w:space="0" w:color="auto"/>
              <w:right w:val="single" w:sz="8" w:space="0" w:color="000000"/>
            </w:tcBorders>
            <w:hideMark/>
          </w:tcPr>
          <w:p w14:paraId="7B933527" w14:textId="77777777" w:rsidR="00033ED4" w:rsidRDefault="00033ED4" w:rsidP="00DF7F0F">
            <w:pPr>
              <w:spacing w:after="120"/>
              <w:rPr>
                <w:color w:val="000000"/>
                <w:szCs w:val="24"/>
              </w:rPr>
            </w:pPr>
            <w:r w:rsidRPr="0062633F">
              <w:t xml:space="preserve">Housing and Growth Deal </w:t>
            </w:r>
            <w:r>
              <w:t xml:space="preserve"> - outline agreement</w:t>
            </w:r>
          </w:p>
        </w:tc>
      </w:tr>
      <w:tr w:rsidR="00033ED4" w14:paraId="6BDEDDDA" w14:textId="77777777" w:rsidTr="00DF7F0F">
        <w:tc>
          <w:tcPr>
            <w:tcW w:w="2438" w:type="dxa"/>
            <w:tcBorders>
              <w:top w:val="single" w:sz="8" w:space="0" w:color="000000"/>
              <w:left w:val="single" w:sz="8" w:space="0" w:color="000000"/>
              <w:bottom w:val="single" w:sz="4" w:space="0" w:color="auto"/>
              <w:right w:val="nil"/>
            </w:tcBorders>
            <w:hideMark/>
          </w:tcPr>
          <w:p w14:paraId="7B5D52FB" w14:textId="77777777" w:rsidR="00033ED4" w:rsidRDefault="00033ED4" w:rsidP="00DF7F0F">
            <w:pPr>
              <w:spacing w:after="120"/>
              <w:rPr>
                <w:color w:val="000000"/>
                <w:szCs w:val="24"/>
              </w:rPr>
            </w:pPr>
            <w:r>
              <w:t>Appendix 2</w:t>
            </w:r>
          </w:p>
        </w:tc>
        <w:tc>
          <w:tcPr>
            <w:tcW w:w="6493" w:type="dxa"/>
            <w:tcBorders>
              <w:top w:val="single" w:sz="8" w:space="0" w:color="000000"/>
              <w:left w:val="nil"/>
              <w:bottom w:val="single" w:sz="4" w:space="0" w:color="auto"/>
              <w:right w:val="single" w:sz="8" w:space="0" w:color="000000"/>
            </w:tcBorders>
            <w:hideMark/>
          </w:tcPr>
          <w:p w14:paraId="46454E6F" w14:textId="77777777" w:rsidR="00033ED4" w:rsidRDefault="00033ED4" w:rsidP="00DF7F0F">
            <w:pPr>
              <w:spacing w:after="120"/>
              <w:rPr>
                <w:color w:val="000000"/>
                <w:szCs w:val="24"/>
              </w:rPr>
            </w:pPr>
            <w:r w:rsidRPr="0062633F">
              <w:t>Housing and Growth Deal Delivery Plan</w:t>
            </w:r>
          </w:p>
        </w:tc>
      </w:tr>
      <w:tr w:rsidR="00033ED4" w14:paraId="53CB95B3" w14:textId="77777777" w:rsidTr="00DF7F0F">
        <w:tc>
          <w:tcPr>
            <w:tcW w:w="2438" w:type="dxa"/>
            <w:tcBorders>
              <w:top w:val="single" w:sz="8" w:space="0" w:color="000000"/>
              <w:left w:val="single" w:sz="8" w:space="0" w:color="000000"/>
              <w:bottom w:val="single" w:sz="4" w:space="0" w:color="auto"/>
              <w:right w:val="nil"/>
            </w:tcBorders>
            <w:hideMark/>
          </w:tcPr>
          <w:p w14:paraId="0F7CF445" w14:textId="77777777" w:rsidR="00033ED4" w:rsidRDefault="00033ED4" w:rsidP="00DF7F0F">
            <w:pPr>
              <w:spacing w:after="120"/>
              <w:rPr>
                <w:color w:val="000000"/>
                <w:szCs w:val="24"/>
              </w:rPr>
            </w:pPr>
            <w:r>
              <w:t xml:space="preserve">Appendix </w:t>
            </w:r>
            <w:proofErr w:type="spellStart"/>
            <w:r>
              <w:t>EqIA</w:t>
            </w:r>
            <w:proofErr w:type="spellEnd"/>
          </w:p>
        </w:tc>
        <w:tc>
          <w:tcPr>
            <w:tcW w:w="6493" w:type="dxa"/>
            <w:tcBorders>
              <w:top w:val="single" w:sz="8" w:space="0" w:color="000000"/>
              <w:left w:val="nil"/>
              <w:bottom w:val="single" w:sz="4" w:space="0" w:color="auto"/>
              <w:right w:val="single" w:sz="8" w:space="0" w:color="000000"/>
            </w:tcBorders>
            <w:hideMark/>
          </w:tcPr>
          <w:p w14:paraId="47B3B24A" w14:textId="77777777" w:rsidR="00033ED4" w:rsidRDefault="00033ED4" w:rsidP="00DF7F0F">
            <w:pPr>
              <w:spacing w:after="120"/>
              <w:rPr>
                <w:color w:val="000000"/>
                <w:szCs w:val="24"/>
              </w:rPr>
            </w:pPr>
            <w:r w:rsidRPr="0062633F">
              <w:rPr>
                <w:color w:val="000000"/>
                <w:szCs w:val="24"/>
              </w:rPr>
              <w:t>Oxfordshire Housing and Growth Deal Equalities Impact Assessment</w:t>
            </w:r>
          </w:p>
        </w:tc>
      </w:tr>
    </w:tbl>
    <w:p w14:paraId="59D3516E" w14:textId="77777777" w:rsidR="0062633F" w:rsidRDefault="0062633F" w:rsidP="003048F2">
      <w:pPr>
        <w:jc w:val="both"/>
        <w:rPr>
          <w:rFonts w:cs="Arial"/>
          <w:szCs w:val="24"/>
        </w:rPr>
      </w:pPr>
    </w:p>
    <w:p w14:paraId="584618AF" w14:textId="77777777" w:rsidR="00907BF9" w:rsidRDefault="00907BF9" w:rsidP="003048F2">
      <w:pPr>
        <w:jc w:val="both"/>
        <w:rPr>
          <w:rFonts w:cs="Arial"/>
          <w:szCs w:val="24"/>
        </w:rPr>
      </w:pPr>
    </w:p>
    <w:p w14:paraId="117501F9" w14:textId="77777777" w:rsidR="007F6AFA" w:rsidRDefault="007F6AFA" w:rsidP="003048F2">
      <w:pPr>
        <w:jc w:val="both"/>
        <w:rPr>
          <w:rFonts w:cs="Arial"/>
          <w:szCs w:val="24"/>
        </w:rPr>
      </w:pPr>
    </w:p>
    <w:p w14:paraId="58C24F24" w14:textId="77777777" w:rsidR="00907BF9" w:rsidRDefault="00907BF9" w:rsidP="003048F2">
      <w:pPr>
        <w:jc w:val="both"/>
        <w:rPr>
          <w:rFonts w:cs="Arial"/>
          <w:szCs w:val="24"/>
        </w:rPr>
      </w:pPr>
    </w:p>
    <w:p w14:paraId="3163045A" w14:textId="77777777" w:rsidR="00907BF9" w:rsidRDefault="00907BF9" w:rsidP="003048F2">
      <w:pPr>
        <w:jc w:val="both"/>
        <w:rPr>
          <w:rFonts w:cs="Arial"/>
          <w:szCs w:val="24"/>
        </w:rPr>
      </w:pPr>
    </w:p>
    <w:p w14:paraId="142DE065" w14:textId="77777777" w:rsidR="00907BF9" w:rsidRDefault="00907BF9" w:rsidP="00907BF9">
      <w:pPr>
        <w:jc w:val="center"/>
        <w:rPr>
          <w:rFonts w:cs="Arial"/>
          <w:szCs w:val="24"/>
        </w:rPr>
      </w:pPr>
    </w:p>
    <w:p w14:paraId="7010567C" w14:textId="77777777" w:rsidR="00907BF9" w:rsidRPr="00526C26" w:rsidRDefault="00907BF9" w:rsidP="00907BF9">
      <w:pPr>
        <w:spacing w:after="120"/>
        <w:jc w:val="center"/>
        <w:rPr>
          <w:rStyle w:val="Firstpagetablebold"/>
        </w:rPr>
      </w:pPr>
      <w:r w:rsidRPr="00526C26">
        <w:rPr>
          <w:rStyle w:val="Firstpagetablebold"/>
        </w:rPr>
        <w:lastRenderedPageBreak/>
        <w:t>COMMON REPORT TO COUNCILS</w:t>
      </w:r>
    </w:p>
    <w:p w14:paraId="3F064EF8" w14:textId="3DD2BD72" w:rsidR="00907BF9" w:rsidRDefault="00907BF9" w:rsidP="00907BF9">
      <w:pPr>
        <w:jc w:val="center"/>
        <w:rPr>
          <w:rStyle w:val="Firstpagetablebold"/>
        </w:rPr>
      </w:pPr>
      <w:r w:rsidRPr="00526C26">
        <w:rPr>
          <w:rStyle w:val="Firstpagetablebold"/>
        </w:rPr>
        <w:t>OXFORDSHIRE HOUSING AND GROWTH DEAL</w:t>
      </w:r>
    </w:p>
    <w:p w14:paraId="58BA958E" w14:textId="77777777" w:rsidR="00907BF9" w:rsidRPr="003048F2" w:rsidRDefault="00907BF9" w:rsidP="00907BF9">
      <w:pPr>
        <w:jc w:val="center"/>
        <w:rPr>
          <w:rFonts w:cs="Arial"/>
          <w:szCs w:val="24"/>
        </w:rPr>
      </w:pPr>
    </w:p>
    <w:p w14:paraId="00179BFC" w14:textId="77777777" w:rsidR="00C5447E" w:rsidRDefault="00F278AE" w:rsidP="003048F2">
      <w:pPr>
        <w:pStyle w:val="Heading1"/>
        <w:tabs>
          <w:tab w:val="clear" w:pos="360"/>
          <w:tab w:val="num" w:pos="426"/>
        </w:tabs>
        <w:spacing w:before="0" w:after="0"/>
        <w:ind w:left="426" w:hanging="426"/>
        <w:jc w:val="both"/>
        <w:rPr>
          <w:rFonts w:cs="Arial"/>
        </w:rPr>
      </w:pPr>
      <w:r w:rsidRPr="003048F2">
        <w:rPr>
          <w:rFonts w:cs="Arial"/>
        </w:rPr>
        <w:t>PURPOSE</w:t>
      </w:r>
    </w:p>
    <w:p w14:paraId="24C7CFFD" w14:textId="77777777" w:rsidR="003048F2" w:rsidRPr="003048F2" w:rsidRDefault="003048F2" w:rsidP="00F8588E"/>
    <w:p w14:paraId="2082F4A8" w14:textId="3084CD2D" w:rsidR="00BD158B" w:rsidRPr="003048F2" w:rsidRDefault="003048F2" w:rsidP="00F8588E">
      <w:pPr>
        <w:ind w:left="426" w:hanging="426"/>
        <w:jc w:val="both"/>
        <w:rPr>
          <w:rFonts w:cs="Arial"/>
          <w:szCs w:val="24"/>
        </w:rPr>
      </w:pPr>
      <w:r>
        <w:rPr>
          <w:rFonts w:cs="Arial"/>
          <w:szCs w:val="24"/>
        </w:rPr>
        <w:t xml:space="preserve">1.1 </w:t>
      </w:r>
      <w:r w:rsidR="005D24EA" w:rsidRPr="003048F2">
        <w:rPr>
          <w:rFonts w:cs="Arial"/>
          <w:szCs w:val="24"/>
        </w:rPr>
        <w:t>To consider the Oxfordshire Housing and Growth Deal</w:t>
      </w:r>
      <w:r w:rsidR="00081F66">
        <w:rPr>
          <w:rFonts w:cs="Arial"/>
          <w:szCs w:val="24"/>
        </w:rPr>
        <w:t xml:space="preserve">(the Deal) </w:t>
      </w:r>
      <w:r w:rsidR="005D24EA" w:rsidRPr="003048F2">
        <w:rPr>
          <w:rFonts w:cs="Arial"/>
          <w:szCs w:val="24"/>
        </w:rPr>
        <w:t xml:space="preserve">announced by Government in the November Budget, which </w:t>
      </w:r>
      <w:r w:rsidR="005824CC" w:rsidRPr="003048F2">
        <w:rPr>
          <w:rFonts w:cs="Arial"/>
          <w:szCs w:val="24"/>
        </w:rPr>
        <w:t>provi</w:t>
      </w:r>
      <w:r w:rsidR="00081F66">
        <w:rPr>
          <w:rFonts w:cs="Arial"/>
          <w:szCs w:val="24"/>
        </w:rPr>
        <w:t>des £215 million of additional G</w:t>
      </w:r>
      <w:r w:rsidR="005824CC" w:rsidRPr="003048F2">
        <w:rPr>
          <w:rFonts w:cs="Arial"/>
          <w:szCs w:val="24"/>
        </w:rPr>
        <w:t>overnment funding for Oxfordshire</w:t>
      </w:r>
      <w:r w:rsidR="005D24EA" w:rsidRPr="003048F2">
        <w:rPr>
          <w:rFonts w:cs="Arial"/>
          <w:szCs w:val="24"/>
        </w:rPr>
        <w:t>, along with a package of planning freedoms and flexibilities for the Oxfordshire authorities</w:t>
      </w:r>
      <w:r w:rsidR="00835CEE" w:rsidRPr="003048F2">
        <w:rPr>
          <w:rFonts w:cs="Arial"/>
          <w:szCs w:val="24"/>
        </w:rPr>
        <w:t>.  The outline agreement makes it cl</w:t>
      </w:r>
      <w:r>
        <w:rPr>
          <w:rFonts w:cs="Arial"/>
          <w:szCs w:val="24"/>
        </w:rPr>
        <w:t>ear that full agreement of the D</w:t>
      </w:r>
      <w:r w:rsidR="00835CEE" w:rsidRPr="003048F2">
        <w:rPr>
          <w:rFonts w:cs="Arial"/>
          <w:szCs w:val="24"/>
        </w:rPr>
        <w:t xml:space="preserve">eal is subject to agreement by each local authority and the </w:t>
      </w:r>
      <w:r w:rsidR="003E4558" w:rsidRPr="003048F2">
        <w:rPr>
          <w:rFonts w:cs="Arial"/>
          <w:szCs w:val="24"/>
        </w:rPr>
        <w:t>Oxfordshire Local Enterprise Board (</w:t>
      </w:r>
      <w:proofErr w:type="spellStart"/>
      <w:r w:rsidR="003E4558" w:rsidRPr="003048F2">
        <w:rPr>
          <w:rFonts w:cs="Arial"/>
          <w:szCs w:val="24"/>
        </w:rPr>
        <w:t>OxLEP</w:t>
      </w:r>
      <w:proofErr w:type="spellEnd"/>
      <w:r w:rsidR="003E4558" w:rsidRPr="003048F2">
        <w:rPr>
          <w:rFonts w:cs="Arial"/>
          <w:szCs w:val="24"/>
        </w:rPr>
        <w:t>)</w:t>
      </w:r>
      <w:r w:rsidR="00081F66">
        <w:rPr>
          <w:rFonts w:cs="Arial"/>
          <w:szCs w:val="24"/>
        </w:rPr>
        <w:t xml:space="preserve"> B</w:t>
      </w:r>
      <w:r w:rsidR="00835CEE" w:rsidRPr="003048F2">
        <w:rPr>
          <w:rFonts w:cs="Arial"/>
          <w:szCs w:val="24"/>
        </w:rPr>
        <w:t>oard</w:t>
      </w:r>
      <w:r w:rsidR="003E4558" w:rsidRPr="003048F2">
        <w:rPr>
          <w:rFonts w:cs="Arial"/>
          <w:szCs w:val="24"/>
        </w:rPr>
        <w:t xml:space="preserve"> (referred to collectively as the “Oxfordshire Partners”)</w:t>
      </w:r>
      <w:r w:rsidR="00835CEE" w:rsidRPr="003048F2">
        <w:rPr>
          <w:rFonts w:cs="Arial"/>
          <w:szCs w:val="24"/>
        </w:rPr>
        <w:t xml:space="preserve">.  The deal also requires a detailed </w:t>
      </w:r>
      <w:r w:rsidR="00081F66">
        <w:rPr>
          <w:rFonts w:cs="Arial"/>
          <w:szCs w:val="24"/>
        </w:rPr>
        <w:t>D</w:t>
      </w:r>
      <w:r w:rsidR="00835CEE" w:rsidRPr="003048F2">
        <w:rPr>
          <w:rFonts w:cs="Arial"/>
          <w:szCs w:val="24"/>
        </w:rPr>
        <w:t xml:space="preserve">elivery </w:t>
      </w:r>
      <w:r w:rsidR="00081F66">
        <w:rPr>
          <w:rFonts w:cs="Arial"/>
          <w:szCs w:val="24"/>
        </w:rPr>
        <w:t>P</w:t>
      </w:r>
      <w:r w:rsidR="00835CEE" w:rsidRPr="003048F2">
        <w:rPr>
          <w:rFonts w:cs="Arial"/>
          <w:szCs w:val="24"/>
        </w:rPr>
        <w:t xml:space="preserve">lan to be agreed by Oxfordshire Partners, </w:t>
      </w:r>
      <w:r>
        <w:rPr>
          <w:rFonts w:cs="Arial"/>
          <w:szCs w:val="24"/>
        </w:rPr>
        <w:t>Homes England</w:t>
      </w:r>
      <w:r w:rsidR="00835CEE" w:rsidRPr="003048F2">
        <w:rPr>
          <w:rFonts w:cs="Arial"/>
          <w:szCs w:val="24"/>
        </w:rPr>
        <w:t xml:space="preserve"> and </w:t>
      </w:r>
      <w:r>
        <w:rPr>
          <w:rFonts w:cs="Arial"/>
          <w:szCs w:val="24"/>
        </w:rPr>
        <w:t>the Ministry of Housing, Communities and Local Government (MHCLG)</w:t>
      </w:r>
      <w:r w:rsidR="00835CEE" w:rsidRPr="003048F2">
        <w:rPr>
          <w:rFonts w:cs="Arial"/>
          <w:szCs w:val="24"/>
        </w:rPr>
        <w:t xml:space="preserve"> by 31st January 2018. </w:t>
      </w:r>
    </w:p>
    <w:p w14:paraId="5AF086AE" w14:textId="77777777" w:rsidR="005824CC" w:rsidRDefault="005824CC" w:rsidP="003048F2">
      <w:pPr>
        <w:ind w:left="426"/>
        <w:jc w:val="both"/>
        <w:rPr>
          <w:rFonts w:cs="Arial"/>
          <w:szCs w:val="24"/>
        </w:rPr>
      </w:pPr>
    </w:p>
    <w:p w14:paraId="18AD56A9" w14:textId="77777777" w:rsidR="00215ADF" w:rsidRPr="003048F2" w:rsidRDefault="00215ADF" w:rsidP="003048F2">
      <w:pPr>
        <w:ind w:left="426"/>
        <w:jc w:val="both"/>
        <w:rPr>
          <w:rFonts w:cs="Arial"/>
          <w:szCs w:val="24"/>
        </w:rPr>
      </w:pPr>
    </w:p>
    <w:p w14:paraId="586B9D26" w14:textId="77777777" w:rsidR="00C5447E" w:rsidRDefault="00A47029" w:rsidP="003048F2">
      <w:pPr>
        <w:pStyle w:val="Heading1"/>
        <w:tabs>
          <w:tab w:val="clear" w:pos="360"/>
          <w:tab w:val="num" w:pos="426"/>
        </w:tabs>
        <w:spacing w:before="0" w:after="0"/>
        <w:ind w:left="426" w:hanging="426"/>
        <w:jc w:val="both"/>
        <w:rPr>
          <w:rFonts w:cs="Arial"/>
        </w:rPr>
      </w:pPr>
      <w:bookmarkStart w:id="0" w:name="_Ref497737988"/>
      <w:r w:rsidRPr="003048F2">
        <w:rPr>
          <w:rFonts w:cs="Arial"/>
        </w:rPr>
        <w:t>RECOMMENDATION</w:t>
      </w:r>
      <w:r w:rsidR="00DE20DC" w:rsidRPr="003048F2">
        <w:rPr>
          <w:rFonts w:cs="Arial"/>
        </w:rPr>
        <w:t>S</w:t>
      </w:r>
      <w:bookmarkEnd w:id="0"/>
      <w:r w:rsidR="002B5663" w:rsidRPr="003048F2">
        <w:rPr>
          <w:rFonts w:cs="Arial"/>
        </w:rPr>
        <w:t xml:space="preserve"> </w:t>
      </w:r>
    </w:p>
    <w:p w14:paraId="0ECD2B53" w14:textId="77777777" w:rsidR="00F8588E" w:rsidRPr="00F8588E" w:rsidRDefault="00F8588E" w:rsidP="00215ADF">
      <w:pPr>
        <w:spacing w:after="120"/>
      </w:pPr>
    </w:p>
    <w:p w14:paraId="067FA8EA" w14:textId="77777777" w:rsidR="007F6AFA" w:rsidRDefault="003A0D8E" w:rsidP="007F6AFA">
      <w:pPr>
        <w:pStyle w:val="ReportPara"/>
        <w:tabs>
          <w:tab w:val="clear" w:pos="1142"/>
          <w:tab w:val="num" w:pos="432"/>
        </w:tabs>
        <w:spacing w:after="0"/>
        <w:ind w:left="431" w:hanging="431"/>
        <w:rPr>
          <w:rFonts w:cs="Arial"/>
          <w:szCs w:val="24"/>
        </w:rPr>
      </w:pPr>
      <w:r w:rsidRPr="007F6AFA">
        <w:rPr>
          <w:rFonts w:cs="Arial"/>
          <w:szCs w:val="24"/>
        </w:rPr>
        <w:t>Agree to the Oxfordshire Housing and Growth Deal</w:t>
      </w:r>
      <w:r w:rsidR="00F8588E" w:rsidRPr="007F6AFA">
        <w:rPr>
          <w:rFonts w:cs="Arial"/>
          <w:szCs w:val="24"/>
        </w:rPr>
        <w:t xml:space="preserve"> </w:t>
      </w:r>
      <w:r w:rsidR="00081F66" w:rsidRPr="007F6AFA">
        <w:rPr>
          <w:rFonts w:cs="Arial"/>
          <w:szCs w:val="24"/>
        </w:rPr>
        <w:t>(the Deal)</w:t>
      </w:r>
      <w:r w:rsidRPr="007F6AFA">
        <w:rPr>
          <w:rFonts w:cs="Arial"/>
          <w:szCs w:val="24"/>
        </w:rPr>
        <w:t xml:space="preserve"> </w:t>
      </w:r>
    </w:p>
    <w:p w14:paraId="44B1D8C3" w14:textId="77777777" w:rsidR="007F6AFA" w:rsidRPr="007F6AFA" w:rsidRDefault="007F6AFA" w:rsidP="007F6AFA">
      <w:pPr>
        <w:pStyle w:val="ReportPara"/>
        <w:numPr>
          <w:ilvl w:val="0"/>
          <w:numId w:val="0"/>
        </w:numPr>
        <w:spacing w:after="0"/>
        <w:ind w:left="431"/>
        <w:rPr>
          <w:rFonts w:cs="Arial"/>
          <w:szCs w:val="24"/>
        </w:rPr>
      </w:pPr>
    </w:p>
    <w:p w14:paraId="59DD5D6B" w14:textId="6A7FD240" w:rsidR="003048F2" w:rsidRPr="007F6AFA" w:rsidRDefault="003A0D8E" w:rsidP="007F6AFA">
      <w:pPr>
        <w:pStyle w:val="ReportPara"/>
        <w:tabs>
          <w:tab w:val="clear" w:pos="1142"/>
          <w:tab w:val="num" w:pos="432"/>
        </w:tabs>
        <w:spacing w:after="0"/>
        <w:ind w:left="431" w:hanging="431"/>
        <w:rPr>
          <w:rFonts w:cs="Arial"/>
          <w:szCs w:val="24"/>
        </w:rPr>
      </w:pPr>
      <w:r w:rsidRPr="007F6AFA">
        <w:rPr>
          <w:rFonts w:cs="Arial"/>
          <w:szCs w:val="24"/>
        </w:rPr>
        <w:t xml:space="preserve"> Agree the Delivery Plan </w:t>
      </w:r>
      <w:r w:rsidR="00F8588E" w:rsidRPr="007F6AFA">
        <w:rPr>
          <w:rFonts w:cs="Arial"/>
          <w:i/>
          <w:iCs/>
          <w:szCs w:val="24"/>
        </w:rPr>
        <w:t>(attached as Appendix 2</w:t>
      </w:r>
      <w:r w:rsidRPr="007F6AFA">
        <w:rPr>
          <w:rFonts w:cs="Arial"/>
          <w:i/>
          <w:iCs/>
          <w:szCs w:val="24"/>
        </w:rPr>
        <w:t xml:space="preserve"> to this report</w:t>
      </w:r>
      <w:r w:rsidRPr="007F6AFA">
        <w:rPr>
          <w:rFonts w:cs="Arial"/>
          <w:szCs w:val="24"/>
        </w:rPr>
        <w:t>) as the basis for the Deal; noting that elements will be updated as detailed work programmes develop</w:t>
      </w:r>
      <w:r w:rsidR="00081F66" w:rsidRPr="007F6AFA">
        <w:rPr>
          <w:rFonts w:cs="Arial"/>
          <w:szCs w:val="24"/>
        </w:rPr>
        <w:t>.</w:t>
      </w:r>
    </w:p>
    <w:p w14:paraId="20D99210" w14:textId="5CF54E00" w:rsidR="003048F2" w:rsidRDefault="003A0D8E" w:rsidP="007F6AFA">
      <w:pPr>
        <w:pStyle w:val="ReportPara"/>
        <w:tabs>
          <w:tab w:val="clear" w:pos="1142"/>
          <w:tab w:val="num" w:pos="432"/>
        </w:tabs>
        <w:spacing w:after="0"/>
        <w:ind w:left="431" w:hanging="431"/>
        <w:rPr>
          <w:rFonts w:cs="Arial"/>
          <w:szCs w:val="24"/>
        </w:rPr>
      </w:pPr>
      <w:r w:rsidRPr="003048F2">
        <w:rPr>
          <w:rFonts w:cs="Arial"/>
          <w:szCs w:val="24"/>
        </w:rPr>
        <w:t xml:space="preserve">Delegate authority to the Chief Executive, in consultation with the Leader and the Growth Board, to make </w:t>
      </w:r>
      <w:r w:rsidR="00B144B0">
        <w:rPr>
          <w:rFonts w:cs="Arial"/>
          <w:szCs w:val="24"/>
        </w:rPr>
        <w:t>minor</w:t>
      </w:r>
      <w:r w:rsidRPr="003048F2">
        <w:rPr>
          <w:rFonts w:cs="Arial"/>
          <w:szCs w:val="24"/>
        </w:rPr>
        <w:t xml:space="preserve"> changes to the </w:t>
      </w:r>
      <w:r w:rsidR="00081F66">
        <w:rPr>
          <w:rFonts w:cs="Arial"/>
          <w:szCs w:val="24"/>
        </w:rPr>
        <w:t>D</w:t>
      </w:r>
      <w:r w:rsidRPr="003048F2">
        <w:rPr>
          <w:rFonts w:cs="Arial"/>
          <w:szCs w:val="24"/>
        </w:rPr>
        <w:t xml:space="preserve">elivery </w:t>
      </w:r>
      <w:r w:rsidR="00081F66">
        <w:rPr>
          <w:rFonts w:cs="Arial"/>
          <w:szCs w:val="24"/>
        </w:rPr>
        <w:t>P</w:t>
      </w:r>
      <w:r w:rsidRPr="003048F2">
        <w:rPr>
          <w:rFonts w:cs="Arial"/>
          <w:szCs w:val="24"/>
        </w:rPr>
        <w:t>lan that may be required to secure agreement with Government.</w:t>
      </w:r>
    </w:p>
    <w:p w14:paraId="75D57FD0" w14:textId="77777777" w:rsidR="007F6AFA" w:rsidRPr="00215ADF" w:rsidRDefault="007F6AFA" w:rsidP="007F6AFA">
      <w:pPr>
        <w:pStyle w:val="ReportPara"/>
        <w:numPr>
          <w:ilvl w:val="0"/>
          <w:numId w:val="0"/>
        </w:numPr>
        <w:spacing w:after="0"/>
        <w:ind w:left="431"/>
        <w:rPr>
          <w:rFonts w:cs="Arial"/>
          <w:szCs w:val="24"/>
        </w:rPr>
      </w:pPr>
    </w:p>
    <w:p w14:paraId="09AABFBE" w14:textId="785185E1" w:rsidR="003048F2" w:rsidRDefault="003A0D8E" w:rsidP="007F6AFA">
      <w:pPr>
        <w:pStyle w:val="ReportPara"/>
        <w:tabs>
          <w:tab w:val="clear" w:pos="1142"/>
          <w:tab w:val="num" w:pos="432"/>
        </w:tabs>
        <w:spacing w:after="0"/>
        <w:ind w:left="431" w:hanging="431"/>
        <w:rPr>
          <w:rFonts w:cs="Arial"/>
          <w:szCs w:val="24"/>
        </w:rPr>
      </w:pPr>
      <w:r w:rsidRPr="003048F2">
        <w:rPr>
          <w:rFonts w:cs="Arial"/>
          <w:szCs w:val="24"/>
        </w:rPr>
        <w:t xml:space="preserve">Delegate authority to the Chief Executive, in consultation with Leader and the Growth Board, to agree the Year 1 affordable housing </w:t>
      </w:r>
      <w:r w:rsidR="00081F66">
        <w:rPr>
          <w:rFonts w:cs="Arial"/>
          <w:szCs w:val="24"/>
        </w:rPr>
        <w:t xml:space="preserve">delivery </w:t>
      </w:r>
      <w:r w:rsidRPr="003048F2">
        <w:rPr>
          <w:rFonts w:cs="Arial"/>
          <w:szCs w:val="24"/>
        </w:rPr>
        <w:t>programme</w:t>
      </w:r>
      <w:r w:rsidR="00081F66">
        <w:rPr>
          <w:rFonts w:cs="Arial"/>
          <w:szCs w:val="24"/>
        </w:rPr>
        <w:t>,</w:t>
      </w:r>
      <w:r w:rsidRPr="003048F2">
        <w:rPr>
          <w:rFonts w:cs="Arial"/>
          <w:szCs w:val="24"/>
        </w:rPr>
        <w:t xml:space="preserve"> phasing and processes specified in the </w:t>
      </w:r>
      <w:r w:rsidR="00081F66">
        <w:rPr>
          <w:rFonts w:cs="Arial"/>
          <w:szCs w:val="24"/>
        </w:rPr>
        <w:t>D</w:t>
      </w:r>
      <w:r w:rsidRPr="003048F2">
        <w:rPr>
          <w:rFonts w:cs="Arial"/>
          <w:szCs w:val="24"/>
        </w:rPr>
        <w:t xml:space="preserve">elivery </w:t>
      </w:r>
      <w:r w:rsidR="00081F66">
        <w:rPr>
          <w:rFonts w:cs="Arial"/>
          <w:szCs w:val="24"/>
        </w:rPr>
        <w:t>P</w:t>
      </w:r>
      <w:r w:rsidRPr="003048F2">
        <w:rPr>
          <w:rFonts w:cs="Arial"/>
          <w:szCs w:val="24"/>
        </w:rPr>
        <w:t>lan.</w:t>
      </w:r>
    </w:p>
    <w:p w14:paraId="1A9539A3" w14:textId="77777777" w:rsidR="007F6AFA" w:rsidRPr="00215ADF" w:rsidRDefault="007F6AFA" w:rsidP="007F6AFA">
      <w:pPr>
        <w:pStyle w:val="ReportPara"/>
        <w:numPr>
          <w:ilvl w:val="0"/>
          <w:numId w:val="0"/>
        </w:numPr>
        <w:spacing w:after="0"/>
        <w:ind w:left="431"/>
        <w:rPr>
          <w:rFonts w:cs="Arial"/>
          <w:szCs w:val="24"/>
        </w:rPr>
      </w:pPr>
    </w:p>
    <w:p w14:paraId="3FEBCDED" w14:textId="038BBAEE" w:rsidR="003048F2" w:rsidRDefault="003A0D8E" w:rsidP="007F6AFA">
      <w:pPr>
        <w:pStyle w:val="ReportPara"/>
        <w:tabs>
          <w:tab w:val="clear" w:pos="1142"/>
          <w:tab w:val="num" w:pos="432"/>
        </w:tabs>
        <w:spacing w:after="0"/>
        <w:ind w:left="431" w:hanging="431"/>
        <w:rPr>
          <w:rFonts w:cs="Arial"/>
          <w:szCs w:val="24"/>
        </w:rPr>
      </w:pPr>
      <w:r w:rsidRPr="003048F2">
        <w:rPr>
          <w:rFonts w:cs="Arial"/>
          <w:szCs w:val="24"/>
        </w:rPr>
        <w:t xml:space="preserve">Appoint Oxfordshire County Council as the </w:t>
      </w:r>
      <w:proofErr w:type="gramStart"/>
      <w:r w:rsidRPr="003048F2">
        <w:rPr>
          <w:rFonts w:cs="Arial"/>
          <w:szCs w:val="24"/>
        </w:rPr>
        <w:t>accountable</w:t>
      </w:r>
      <w:proofErr w:type="gramEnd"/>
      <w:r w:rsidRPr="003048F2">
        <w:rPr>
          <w:rFonts w:cs="Arial"/>
          <w:szCs w:val="24"/>
        </w:rPr>
        <w:t xml:space="preserve"> body in res</w:t>
      </w:r>
      <w:r w:rsidR="003048F2">
        <w:rPr>
          <w:rFonts w:cs="Arial"/>
          <w:szCs w:val="24"/>
        </w:rPr>
        <w:t>pect of the Oxfordshire Housing and Growth D</w:t>
      </w:r>
      <w:r w:rsidRPr="003048F2">
        <w:rPr>
          <w:rFonts w:cs="Arial"/>
          <w:szCs w:val="24"/>
        </w:rPr>
        <w:t>eal.</w:t>
      </w:r>
    </w:p>
    <w:p w14:paraId="69D0EB6B" w14:textId="77777777" w:rsidR="007F6AFA" w:rsidRPr="00215ADF" w:rsidRDefault="007F6AFA" w:rsidP="007F6AFA">
      <w:pPr>
        <w:pStyle w:val="ReportPara"/>
        <w:numPr>
          <w:ilvl w:val="0"/>
          <w:numId w:val="0"/>
        </w:numPr>
        <w:spacing w:after="0"/>
        <w:ind w:left="431"/>
        <w:rPr>
          <w:rFonts w:cs="Arial"/>
          <w:szCs w:val="24"/>
        </w:rPr>
      </w:pPr>
    </w:p>
    <w:p w14:paraId="635E033D" w14:textId="3B79A3B1" w:rsidR="003048F2" w:rsidRDefault="003A0D8E" w:rsidP="007F6AFA">
      <w:pPr>
        <w:pStyle w:val="ReportPara"/>
        <w:tabs>
          <w:tab w:val="clear" w:pos="1142"/>
          <w:tab w:val="num" w:pos="432"/>
        </w:tabs>
        <w:spacing w:after="0"/>
        <w:ind w:left="431" w:hanging="431"/>
        <w:rPr>
          <w:rFonts w:cs="Arial"/>
          <w:szCs w:val="24"/>
        </w:rPr>
      </w:pPr>
      <w:r w:rsidRPr="003048F2">
        <w:rPr>
          <w:rFonts w:cs="Arial"/>
          <w:szCs w:val="24"/>
        </w:rPr>
        <w:t>Delegate authority to the Chief Executive</w:t>
      </w:r>
      <w:r w:rsidR="00356D22">
        <w:rPr>
          <w:rFonts w:cs="Arial"/>
          <w:szCs w:val="24"/>
        </w:rPr>
        <w:t>/</w:t>
      </w:r>
      <w:r w:rsidRPr="003048F2">
        <w:rPr>
          <w:rFonts w:cs="Arial"/>
          <w:szCs w:val="24"/>
        </w:rPr>
        <w:t xml:space="preserve">, in consultation with the Leader and the Growth Board, </w:t>
      </w:r>
      <w:r w:rsidR="00D976F9">
        <w:rPr>
          <w:rFonts w:cs="Arial"/>
          <w:szCs w:val="24"/>
        </w:rPr>
        <w:t xml:space="preserve">to </w:t>
      </w:r>
      <w:r w:rsidR="00356D22">
        <w:rPr>
          <w:rFonts w:cs="Arial"/>
          <w:szCs w:val="24"/>
        </w:rPr>
        <w:t>review the</w:t>
      </w:r>
      <w:r w:rsidRPr="003048F2">
        <w:rPr>
          <w:rFonts w:cs="Arial"/>
          <w:szCs w:val="24"/>
        </w:rPr>
        <w:t xml:space="preserve"> terms of reference of the Growth Board</w:t>
      </w:r>
      <w:r w:rsidR="00356D22">
        <w:rPr>
          <w:rFonts w:cs="Arial"/>
          <w:szCs w:val="24"/>
        </w:rPr>
        <w:t xml:space="preserve"> and agree any amendments </w:t>
      </w:r>
      <w:r w:rsidRPr="003048F2">
        <w:rPr>
          <w:rFonts w:cs="Arial"/>
          <w:szCs w:val="24"/>
        </w:rPr>
        <w:t>and any appropriate inter-authority agreements</w:t>
      </w:r>
      <w:r w:rsidR="00356D22">
        <w:rPr>
          <w:rFonts w:cs="Arial"/>
          <w:szCs w:val="24"/>
        </w:rPr>
        <w:t xml:space="preserve"> required to support the Delivery of the Housing and Growth Deal</w:t>
      </w:r>
      <w:r w:rsidRPr="003048F2">
        <w:rPr>
          <w:rFonts w:cs="Arial"/>
          <w:szCs w:val="24"/>
        </w:rPr>
        <w:t>.</w:t>
      </w:r>
    </w:p>
    <w:p w14:paraId="0EE45379" w14:textId="77777777" w:rsidR="007F6AFA" w:rsidRPr="00215ADF" w:rsidRDefault="007F6AFA" w:rsidP="007F6AFA">
      <w:pPr>
        <w:pStyle w:val="ReportPara"/>
        <w:numPr>
          <w:ilvl w:val="0"/>
          <w:numId w:val="0"/>
        </w:numPr>
        <w:spacing w:after="0"/>
        <w:ind w:left="431"/>
        <w:rPr>
          <w:rFonts w:cs="Arial"/>
          <w:szCs w:val="24"/>
        </w:rPr>
      </w:pPr>
    </w:p>
    <w:p w14:paraId="5FA8B3F7" w14:textId="706BDDDD" w:rsidR="003048F2" w:rsidRDefault="003A0D8E" w:rsidP="007F6AFA">
      <w:pPr>
        <w:pStyle w:val="ReportPara"/>
        <w:tabs>
          <w:tab w:val="clear" w:pos="1142"/>
          <w:tab w:val="num" w:pos="432"/>
        </w:tabs>
        <w:spacing w:after="0"/>
        <w:ind w:left="431" w:hanging="431"/>
        <w:rPr>
          <w:rFonts w:cs="Arial"/>
          <w:szCs w:val="24"/>
        </w:rPr>
      </w:pPr>
      <w:r w:rsidRPr="003048F2">
        <w:rPr>
          <w:rFonts w:cs="Arial"/>
          <w:szCs w:val="24"/>
        </w:rPr>
        <w:t>Delegate authority to the Chief Executive in consultation with the Leader to take any other decisions arising from agreement to the Oxfordshire Housing and Growth Deal, until the revised terms of reference of the Growth Board are in place.</w:t>
      </w:r>
    </w:p>
    <w:p w14:paraId="6862F623" w14:textId="77777777" w:rsidR="007F6AFA" w:rsidRPr="00215ADF" w:rsidRDefault="007F6AFA" w:rsidP="007F6AFA">
      <w:pPr>
        <w:pStyle w:val="ReportPara"/>
        <w:numPr>
          <w:ilvl w:val="0"/>
          <w:numId w:val="0"/>
        </w:numPr>
        <w:spacing w:after="0"/>
        <w:ind w:left="431"/>
        <w:rPr>
          <w:rFonts w:cs="Arial"/>
          <w:szCs w:val="24"/>
        </w:rPr>
      </w:pPr>
    </w:p>
    <w:p w14:paraId="660CE6F7" w14:textId="7AA0B242" w:rsidR="003A0D8E" w:rsidRPr="003048F2" w:rsidRDefault="003A0D8E" w:rsidP="007F6AFA">
      <w:pPr>
        <w:pStyle w:val="ReportPara"/>
        <w:tabs>
          <w:tab w:val="clear" w:pos="1142"/>
          <w:tab w:val="num" w:pos="432"/>
        </w:tabs>
        <w:spacing w:after="0"/>
        <w:ind w:left="431" w:hanging="431"/>
        <w:rPr>
          <w:rFonts w:cs="Arial"/>
          <w:szCs w:val="24"/>
        </w:rPr>
      </w:pPr>
      <w:r w:rsidRPr="003048F2">
        <w:rPr>
          <w:rFonts w:cs="Arial"/>
          <w:szCs w:val="24"/>
        </w:rPr>
        <w:t>Agree to participate in the preparation of a Joint Statutory Spatial Plan (JSSP) for Oxfordshire in accordance with the timescales set out in the Delivery Plan and in accordance with Section 28 of the Planning and Compulsory Purchase Act 2004 (Districts only).</w:t>
      </w:r>
      <w:r w:rsidR="00B144B0">
        <w:rPr>
          <w:rFonts w:cs="Arial"/>
          <w:szCs w:val="24"/>
        </w:rPr>
        <w:t xml:space="preserve"> The milestones for </w:t>
      </w:r>
      <w:proofErr w:type="gramStart"/>
      <w:r w:rsidR="00B144B0">
        <w:rPr>
          <w:rFonts w:cs="Arial"/>
          <w:szCs w:val="24"/>
        </w:rPr>
        <w:t>progressing</w:t>
      </w:r>
      <w:proofErr w:type="gramEnd"/>
      <w:r w:rsidR="00B144B0">
        <w:rPr>
          <w:rFonts w:cs="Arial"/>
          <w:szCs w:val="24"/>
        </w:rPr>
        <w:t xml:space="preserve"> the JSSP </w:t>
      </w:r>
      <w:r w:rsidR="00081F66">
        <w:rPr>
          <w:rFonts w:cs="Arial"/>
          <w:szCs w:val="24"/>
        </w:rPr>
        <w:t>being</w:t>
      </w:r>
      <w:r w:rsidR="00B144B0">
        <w:rPr>
          <w:rFonts w:cs="Arial"/>
          <w:szCs w:val="24"/>
        </w:rPr>
        <w:t xml:space="preserve"> contingent on Government delivering the Planning Freedoms and Flexibilities as described in the Delivery Plan.</w:t>
      </w:r>
    </w:p>
    <w:p w14:paraId="18058293" w14:textId="77777777" w:rsidR="003A0D8E" w:rsidRPr="003048F2" w:rsidRDefault="003A0D8E" w:rsidP="00215ADF"/>
    <w:p w14:paraId="266F0A02" w14:textId="77777777" w:rsidR="00C5447E" w:rsidRDefault="00F278AE" w:rsidP="003048F2">
      <w:pPr>
        <w:pStyle w:val="Heading1"/>
        <w:tabs>
          <w:tab w:val="clear" w:pos="360"/>
          <w:tab w:val="num" w:pos="426"/>
        </w:tabs>
        <w:spacing w:before="0" w:after="0"/>
        <w:ind w:left="426" w:hanging="426"/>
        <w:jc w:val="both"/>
        <w:rPr>
          <w:rFonts w:cs="Arial"/>
        </w:rPr>
      </w:pPr>
      <w:r w:rsidRPr="003048F2">
        <w:rPr>
          <w:rFonts w:cs="Arial"/>
        </w:rPr>
        <w:lastRenderedPageBreak/>
        <w:t>BACKGROUND</w:t>
      </w:r>
    </w:p>
    <w:p w14:paraId="0CDFC8F2" w14:textId="77777777" w:rsidR="003048F2" w:rsidRPr="003048F2" w:rsidRDefault="003048F2" w:rsidP="00F8588E"/>
    <w:p w14:paraId="002C93B5" w14:textId="608F1EA5" w:rsidR="005D24EA" w:rsidRDefault="00081F66" w:rsidP="00F8588E">
      <w:pPr>
        <w:pStyle w:val="ReportPara"/>
        <w:tabs>
          <w:tab w:val="clear" w:pos="1142"/>
          <w:tab w:val="num" w:pos="630"/>
          <w:tab w:val="num" w:pos="1134"/>
          <w:tab w:val="num" w:pos="1283"/>
        </w:tabs>
        <w:spacing w:after="0"/>
        <w:ind w:left="630" w:hanging="630"/>
        <w:jc w:val="both"/>
        <w:rPr>
          <w:rFonts w:cs="Arial"/>
          <w:szCs w:val="24"/>
        </w:rPr>
      </w:pPr>
      <w:r>
        <w:rPr>
          <w:rFonts w:cs="Arial"/>
          <w:szCs w:val="24"/>
        </w:rPr>
        <w:t xml:space="preserve">The </w:t>
      </w:r>
      <w:r w:rsidR="005D24EA" w:rsidRPr="003048F2">
        <w:rPr>
          <w:rFonts w:cs="Arial"/>
          <w:szCs w:val="24"/>
        </w:rPr>
        <w:t xml:space="preserve">Deal, announced in </w:t>
      </w:r>
      <w:r w:rsidR="00F70524" w:rsidRPr="003048F2">
        <w:rPr>
          <w:rFonts w:cs="Arial"/>
          <w:szCs w:val="24"/>
        </w:rPr>
        <w:t>the November</w:t>
      </w:r>
      <w:r w:rsidR="005D24EA" w:rsidRPr="003048F2">
        <w:rPr>
          <w:rFonts w:cs="Arial"/>
          <w:szCs w:val="24"/>
        </w:rPr>
        <w:t xml:space="preserve"> Budget, </w:t>
      </w:r>
      <w:r w:rsidR="002B5663" w:rsidRPr="003048F2">
        <w:rPr>
          <w:rFonts w:cs="Arial"/>
          <w:szCs w:val="24"/>
        </w:rPr>
        <w:t>offers</w:t>
      </w:r>
      <w:r w:rsidR="005D24EA" w:rsidRPr="003048F2">
        <w:rPr>
          <w:rFonts w:cs="Arial"/>
          <w:szCs w:val="24"/>
        </w:rPr>
        <w:t xml:space="preserve"> </w:t>
      </w:r>
      <w:r w:rsidR="00F70524" w:rsidRPr="003048F2">
        <w:rPr>
          <w:rFonts w:cs="Arial"/>
          <w:szCs w:val="24"/>
        </w:rPr>
        <w:t xml:space="preserve">£150 million for infrastructure, </w:t>
      </w:r>
      <w:r w:rsidR="005D24EA" w:rsidRPr="003048F2">
        <w:rPr>
          <w:rFonts w:cs="Arial"/>
          <w:szCs w:val="24"/>
        </w:rPr>
        <w:t>£60</w:t>
      </w:r>
      <w:r w:rsidR="00F70524" w:rsidRPr="003048F2">
        <w:rPr>
          <w:rFonts w:cs="Arial"/>
          <w:szCs w:val="24"/>
        </w:rPr>
        <w:t xml:space="preserve"> </w:t>
      </w:r>
      <w:r w:rsidR="005D24EA" w:rsidRPr="003048F2">
        <w:rPr>
          <w:rFonts w:cs="Arial"/>
          <w:szCs w:val="24"/>
        </w:rPr>
        <w:t>m</w:t>
      </w:r>
      <w:r w:rsidR="00F70524" w:rsidRPr="003048F2">
        <w:rPr>
          <w:rFonts w:cs="Arial"/>
          <w:szCs w:val="24"/>
        </w:rPr>
        <w:t>illion</w:t>
      </w:r>
      <w:r w:rsidR="005D24EA" w:rsidRPr="003048F2">
        <w:rPr>
          <w:rFonts w:cs="Arial"/>
          <w:szCs w:val="24"/>
        </w:rPr>
        <w:t xml:space="preserve"> for affordable housing and £5</w:t>
      </w:r>
      <w:r w:rsidR="00F70524" w:rsidRPr="003048F2">
        <w:rPr>
          <w:rFonts w:cs="Arial"/>
          <w:szCs w:val="24"/>
        </w:rPr>
        <w:t xml:space="preserve"> </w:t>
      </w:r>
      <w:r w:rsidR="005D24EA" w:rsidRPr="003048F2">
        <w:rPr>
          <w:rFonts w:cs="Arial"/>
          <w:szCs w:val="24"/>
        </w:rPr>
        <w:t>m</w:t>
      </w:r>
      <w:r w:rsidR="00F70524" w:rsidRPr="003048F2">
        <w:rPr>
          <w:rFonts w:cs="Arial"/>
          <w:szCs w:val="24"/>
        </w:rPr>
        <w:t xml:space="preserve">illion capacity funding.  </w:t>
      </w:r>
      <w:r w:rsidR="005D24EA" w:rsidRPr="003048F2">
        <w:rPr>
          <w:rFonts w:cs="Arial"/>
          <w:szCs w:val="24"/>
        </w:rPr>
        <w:t xml:space="preserve">This </w:t>
      </w:r>
      <w:r w:rsidR="00DD0B49" w:rsidRPr="003048F2">
        <w:rPr>
          <w:rFonts w:cs="Arial"/>
          <w:szCs w:val="24"/>
        </w:rPr>
        <w:t xml:space="preserve">funding, over a five year period, </w:t>
      </w:r>
      <w:r w:rsidR="005D24EA" w:rsidRPr="003048F2">
        <w:rPr>
          <w:rFonts w:cs="Arial"/>
          <w:szCs w:val="24"/>
        </w:rPr>
        <w:t>will support the ambition of building 100,000 new homes across Oxfordshire between 2011 and 2031 to address the county’s severe housing shortage and expected economic growth.</w:t>
      </w:r>
      <w:r w:rsidR="00F70524" w:rsidRPr="003048F2">
        <w:rPr>
          <w:rFonts w:cs="Arial"/>
          <w:szCs w:val="24"/>
        </w:rPr>
        <w:t xml:space="preserve">  This level of housing growth is that identified by the Oxfordshire Strategic Housing Market Assessment 2014</w:t>
      </w:r>
      <w:r w:rsidR="00FC19C6" w:rsidRPr="003048F2">
        <w:rPr>
          <w:rFonts w:cs="Arial"/>
          <w:szCs w:val="24"/>
        </w:rPr>
        <w:t xml:space="preserve">, and is consistent with that planned for </w:t>
      </w:r>
      <w:r w:rsidR="00227412" w:rsidRPr="003048F2">
        <w:rPr>
          <w:rFonts w:cs="Arial"/>
          <w:szCs w:val="24"/>
        </w:rPr>
        <w:t>in</w:t>
      </w:r>
      <w:r w:rsidR="00FC19C6" w:rsidRPr="003048F2">
        <w:rPr>
          <w:rFonts w:cs="Arial"/>
          <w:szCs w:val="24"/>
        </w:rPr>
        <w:t xml:space="preserve"> </w:t>
      </w:r>
      <w:r w:rsidR="002B5663" w:rsidRPr="003048F2">
        <w:rPr>
          <w:rFonts w:cs="Arial"/>
          <w:szCs w:val="24"/>
        </w:rPr>
        <w:t>existing and</w:t>
      </w:r>
      <w:r w:rsidR="00FC19C6" w:rsidRPr="003048F2">
        <w:rPr>
          <w:rFonts w:cs="Arial"/>
          <w:szCs w:val="24"/>
        </w:rPr>
        <w:t xml:space="preserve"> emerging </w:t>
      </w:r>
      <w:r w:rsidR="002B5663" w:rsidRPr="003048F2">
        <w:rPr>
          <w:rFonts w:cs="Arial"/>
          <w:szCs w:val="24"/>
        </w:rPr>
        <w:t>Oxfordshire</w:t>
      </w:r>
      <w:r w:rsidR="00FC19C6" w:rsidRPr="003048F2">
        <w:rPr>
          <w:rFonts w:cs="Arial"/>
          <w:szCs w:val="24"/>
        </w:rPr>
        <w:t xml:space="preserve"> Local Plan</w:t>
      </w:r>
      <w:r w:rsidR="002B5663" w:rsidRPr="003048F2">
        <w:rPr>
          <w:rFonts w:cs="Arial"/>
          <w:szCs w:val="24"/>
        </w:rPr>
        <w:t>s</w:t>
      </w:r>
      <w:r w:rsidR="00FC19C6" w:rsidRPr="003048F2">
        <w:rPr>
          <w:rFonts w:cs="Arial"/>
          <w:szCs w:val="24"/>
        </w:rPr>
        <w:t>.</w:t>
      </w:r>
    </w:p>
    <w:p w14:paraId="492B252D" w14:textId="77777777" w:rsidR="003048F2" w:rsidRPr="003048F2" w:rsidRDefault="003048F2" w:rsidP="00F8588E">
      <w:pPr>
        <w:pStyle w:val="ReportPara"/>
        <w:numPr>
          <w:ilvl w:val="0"/>
          <w:numId w:val="0"/>
        </w:numPr>
        <w:tabs>
          <w:tab w:val="num" w:pos="1134"/>
          <w:tab w:val="num" w:pos="1283"/>
        </w:tabs>
        <w:spacing w:after="0"/>
        <w:ind w:left="630"/>
        <w:jc w:val="both"/>
        <w:rPr>
          <w:rFonts w:cs="Arial"/>
          <w:szCs w:val="24"/>
        </w:rPr>
      </w:pPr>
    </w:p>
    <w:p w14:paraId="173DFF73" w14:textId="149C5292" w:rsidR="007939B7" w:rsidRDefault="002B5663" w:rsidP="00F8588E">
      <w:pPr>
        <w:pStyle w:val="ReportPara"/>
        <w:tabs>
          <w:tab w:val="clear" w:pos="1142"/>
          <w:tab w:val="num" w:pos="630"/>
          <w:tab w:val="num" w:pos="1134"/>
          <w:tab w:val="num" w:pos="1283"/>
        </w:tabs>
        <w:spacing w:after="0"/>
        <w:ind w:left="630" w:hanging="630"/>
        <w:jc w:val="both"/>
        <w:rPr>
          <w:rFonts w:cs="Arial"/>
          <w:szCs w:val="24"/>
        </w:rPr>
      </w:pPr>
      <w:r w:rsidRPr="003048F2">
        <w:rPr>
          <w:rFonts w:cs="Arial"/>
          <w:szCs w:val="24"/>
        </w:rPr>
        <w:t>The</w:t>
      </w:r>
      <w:r w:rsidR="00AE4098" w:rsidRPr="003048F2">
        <w:rPr>
          <w:rFonts w:cs="Arial"/>
          <w:szCs w:val="24"/>
        </w:rPr>
        <w:t xml:space="preserve"> six Oxfordshire Authorities</w:t>
      </w:r>
      <w:r w:rsidR="00081F66">
        <w:rPr>
          <w:rFonts w:cs="Arial"/>
          <w:szCs w:val="24"/>
        </w:rPr>
        <w:t>,</w:t>
      </w:r>
      <w:r w:rsidR="00AE4098" w:rsidRPr="003048F2">
        <w:rPr>
          <w:rFonts w:cs="Arial"/>
          <w:szCs w:val="24"/>
        </w:rPr>
        <w:t xml:space="preserve"> </w:t>
      </w:r>
      <w:proofErr w:type="spellStart"/>
      <w:r w:rsidR="00AE4098" w:rsidRPr="003048F2">
        <w:rPr>
          <w:rFonts w:cs="Arial"/>
          <w:szCs w:val="24"/>
        </w:rPr>
        <w:t>OxLEP</w:t>
      </w:r>
      <w:proofErr w:type="spellEnd"/>
      <w:r w:rsidR="00AE4098" w:rsidRPr="003048F2">
        <w:rPr>
          <w:rFonts w:cs="Arial"/>
          <w:szCs w:val="24"/>
        </w:rPr>
        <w:t xml:space="preserve"> and key partners have for some months been </w:t>
      </w:r>
      <w:r w:rsidR="00FC19C6" w:rsidRPr="003048F2">
        <w:rPr>
          <w:rFonts w:cs="Arial"/>
          <w:szCs w:val="24"/>
        </w:rPr>
        <w:t>engaged with Government officials</w:t>
      </w:r>
      <w:r w:rsidR="00AE4098" w:rsidRPr="003048F2">
        <w:rPr>
          <w:rFonts w:cs="Arial"/>
          <w:szCs w:val="24"/>
        </w:rPr>
        <w:t xml:space="preserve"> on an ambitious, comprehensive and integrated approach to addressing </w:t>
      </w:r>
      <w:r w:rsidR="00FC19C6" w:rsidRPr="003048F2">
        <w:rPr>
          <w:rFonts w:cs="Arial"/>
          <w:szCs w:val="24"/>
        </w:rPr>
        <w:t>Oxfordshire’s</w:t>
      </w:r>
      <w:r w:rsidR="00AE4098" w:rsidRPr="003048F2">
        <w:rPr>
          <w:rFonts w:cs="Arial"/>
          <w:szCs w:val="24"/>
        </w:rPr>
        <w:t xml:space="preserve"> housing, infrastructure and economic challenges, so as to deliver the potential of our world class knowledge economy and high quality sustainable development across the County.</w:t>
      </w:r>
      <w:r w:rsidR="005678B0" w:rsidRPr="003048F2">
        <w:rPr>
          <w:rFonts w:cs="Arial"/>
          <w:szCs w:val="24"/>
        </w:rPr>
        <w:t xml:space="preserve"> </w:t>
      </w:r>
      <w:r w:rsidR="007939B7" w:rsidRPr="003048F2">
        <w:rPr>
          <w:rFonts w:cs="Arial"/>
          <w:szCs w:val="24"/>
        </w:rPr>
        <w:t xml:space="preserve">This strong collaboration, under the auspices of the Oxfordshire Growth Board has </w:t>
      </w:r>
      <w:r w:rsidR="00FC19C6" w:rsidRPr="003048F2">
        <w:rPr>
          <w:rFonts w:cs="Arial"/>
          <w:szCs w:val="24"/>
        </w:rPr>
        <w:t xml:space="preserve">received </w:t>
      </w:r>
      <w:r w:rsidR="007939B7" w:rsidRPr="003048F2">
        <w:rPr>
          <w:rFonts w:cs="Arial"/>
          <w:szCs w:val="24"/>
        </w:rPr>
        <w:t xml:space="preserve">support by Government </w:t>
      </w:r>
      <w:r w:rsidR="00FC19C6" w:rsidRPr="003048F2">
        <w:rPr>
          <w:rFonts w:cs="Arial"/>
          <w:szCs w:val="24"/>
        </w:rPr>
        <w:t xml:space="preserve">through </w:t>
      </w:r>
      <w:r w:rsidR="007939B7" w:rsidRPr="003048F2">
        <w:rPr>
          <w:rFonts w:cs="Arial"/>
          <w:szCs w:val="24"/>
        </w:rPr>
        <w:t xml:space="preserve">the </w:t>
      </w:r>
      <w:r w:rsidRPr="003048F2">
        <w:rPr>
          <w:rFonts w:cs="Arial"/>
          <w:szCs w:val="24"/>
        </w:rPr>
        <w:t xml:space="preserve">announcement in the Autumn Budget Statement of the </w:t>
      </w:r>
      <w:r w:rsidR="007939B7" w:rsidRPr="003048F2">
        <w:rPr>
          <w:rFonts w:cs="Arial"/>
          <w:szCs w:val="24"/>
        </w:rPr>
        <w:t>Deal</w:t>
      </w:r>
      <w:r w:rsidR="00081F66">
        <w:rPr>
          <w:rFonts w:cs="Arial"/>
          <w:szCs w:val="24"/>
        </w:rPr>
        <w:t>.</w:t>
      </w:r>
      <w:r w:rsidR="007939B7" w:rsidRPr="003048F2">
        <w:rPr>
          <w:rFonts w:cs="Arial"/>
          <w:szCs w:val="24"/>
        </w:rPr>
        <w:t xml:space="preserve"> </w:t>
      </w:r>
    </w:p>
    <w:p w14:paraId="407DA74F" w14:textId="77777777" w:rsidR="003048F2" w:rsidRPr="003048F2" w:rsidRDefault="003048F2" w:rsidP="00F8588E">
      <w:pPr>
        <w:pStyle w:val="ReportPara"/>
        <w:numPr>
          <w:ilvl w:val="0"/>
          <w:numId w:val="0"/>
        </w:numPr>
        <w:tabs>
          <w:tab w:val="num" w:pos="1134"/>
          <w:tab w:val="num" w:pos="1283"/>
        </w:tabs>
        <w:spacing w:after="0"/>
        <w:ind w:left="630"/>
        <w:jc w:val="both"/>
        <w:rPr>
          <w:rFonts w:cs="Arial"/>
          <w:szCs w:val="24"/>
        </w:rPr>
      </w:pPr>
    </w:p>
    <w:p w14:paraId="2F8854F2" w14:textId="77777777" w:rsidR="005824CC" w:rsidRDefault="003E4558" w:rsidP="00F8588E">
      <w:pPr>
        <w:pStyle w:val="ReportPara"/>
        <w:tabs>
          <w:tab w:val="clear" w:pos="1142"/>
          <w:tab w:val="num" w:pos="630"/>
          <w:tab w:val="num" w:pos="1134"/>
          <w:tab w:val="num" w:pos="1283"/>
        </w:tabs>
        <w:spacing w:after="0"/>
        <w:ind w:left="630" w:hanging="630"/>
        <w:jc w:val="both"/>
        <w:rPr>
          <w:rFonts w:cs="Arial"/>
          <w:szCs w:val="24"/>
        </w:rPr>
      </w:pPr>
      <w:r w:rsidRPr="003048F2">
        <w:rPr>
          <w:rFonts w:cs="Arial"/>
          <w:szCs w:val="24"/>
        </w:rPr>
        <w:t>The Oxfordshire P</w:t>
      </w:r>
      <w:r w:rsidR="005824CC" w:rsidRPr="003048F2">
        <w:rPr>
          <w:rFonts w:cs="Arial"/>
          <w:szCs w:val="24"/>
        </w:rPr>
        <w:t>artners and Government both view the Deal as the first part of a long-term commitment to Oxfordshire, with the measures announced in the Budget  being “an initial package, intended to kick-start a process of meeting Oxfordshire’s long-term potential” and a statement of support for our ambitions for Oxfordshire.</w:t>
      </w:r>
    </w:p>
    <w:p w14:paraId="1C2F9A30" w14:textId="77777777" w:rsidR="003048F2" w:rsidRPr="003048F2" w:rsidRDefault="003048F2" w:rsidP="00F8588E">
      <w:pPr>
        <w:pStyle w:val="ReportPara"/>
        <w:numPr>
          <w:ilvl w:val="0"/>
          <w:numId w:val="0"/>
        </w:numPr>
        <w:tabs>
          <w:tab w:val="num" w:pos="1134"/>
          <w:tab w:val="num" w:pos="1283"/>
        </w:tabs>
        <w:spacing w:after="0"/>
        <w:ind w:left="630"/>
        <w:jc w:val="both"/>
        <w:rPr>
          <w:rFonts w:cs="Arial"/>
          <w:szCs w:val="24"/>
        </w:rPr>
      </w:pPr>
    </w:p>
    <w:p w14:paraId="693AE7D8" w14:textId="08A0966D" w:rsidR="005824CC" w:rsidRDefault="005824CC" w:rsidP="00F8588E">
      <w:pPr>
        <w:pStyle w:val="ReportPara"/>
        <w:tabs>
          <w:tab w:val="clear" w:pos="1142"/>
          <w:tab w:val="num" w:pos="630"/>
          <w:tab w:val="num" w:pos="1134"/>
          <w:tab w:val="num" w:pos="1283"/>
        </w:tabs>
        <w:spacing w:after="0"/>
        <w:ind w:left="630" w:hanging="630"/>
        <w:jc w:val="both"/>
        <w:rPr>
          <w:rFonts w:cs="Arial"/>
          <w:szCs w:val="24"/>
        </w:rPr>
      </w:pPr>
      <w:r w:rsidRPr="003048F2">
        <w:rPr>
          <w:rFonts w:cs="Arial"/>
          <w:szCs w:val="24"/>
        </w:rPr>
        <w:t>The announcement of a Housing</w:t>
      </w:r>
      <w:r w:rsidR="00227412" w:rsidRPr="003048F2">
        <w:rPr>
          <w:rFonts w:cs="Arial"/>
          <w:szCs w:val="24"/>
        </w:rPr>
        <w:t xml:space="preserve"> and Growth</w:t>
      </w:r>
      <w:r w:rsidRPr="003048F2">
        <w:rPr>
          <w:rFonts w:cs="Arial"/>
          <w:szCs w:val="24"/>
        </w:rPr>
        <w:t xml:space="preserve"> Deal for Oxfordshire in the Autumn Budget is a positive contribution to this ambition. It offers up to £215m as a ‘down-payment’ on investment in infrastructure and housing needed to deliver the Oxfordshire part of the </w:t>
      </w:r>
      <w:r w:rsidR="00356D22">
        <w:rPr>
          <w:rFonts w:cs="Arial"/>
          <w:szCs w:val="24"/>
        </w:rPr>
        <w:t>Cambridge – Milton Keynes - Oxford</w:t>
      </w:r>
      <w:r w:rsidRPr="003048F2">
        <w:rPr>
          <w:rFonts w:cs="Arial"/>
          <w:szCs w:val="24"/>
        </w:rPr>
        <w:t xml:space="preserve"> corridor and a commitment from Government to further work with Oxfordshire to address barriers to growth and avoid unplanned speculative development. In addition, other funding announcements and initiatives in the Autumn Budget statement offer wider opportunities for Oxfordshire.</w:t>
      </w:r>
    </w:p>
    <w:p w14:paraId="13DD4374" w14:textId="77777777" w:rsidR="003048F2" w:rsidRPr="003048F2" w:rsidRDefault="003048F2" w:rsidP="00F8588E">
      <w:pPr>
        <w:pStyle w:val="ReportPara"/>
        <w:numPr>
          <w:ilvl w:val="0"/>
          <w:numId w:val="0"/>
        </w:numPr>
        <w:tabs>
          <w:tab w:val="num" w:pos="1134"/>
          <w:tab w:val="num" w:pos="1283"/>
        </w:tabs>
        <w:spacing w:after="0"/>
        <w:ind w:left="630"/>
        <w:jc w:val="both"/>
        <w:rPr>
          <w:rFonts w:cs="Arial"/>
          <w:szCs w:val="24"/>
        </w:rPr>
      </w:pPr>
    </w:p>
    <w:p w14:paraId="2A7187E4" w14:textId="77777777" w:rsidR="00D66DBC" w:rsidRDefault="001D4FAE" w:rsidP="00F8588E">
      <w:pPr>
        <w:pStyle w:val="ReportPara"/>
        <w:tabs>
          <w:tab w:val="clear" w:pos="1142"/>
          <w:tab w:val="num" w:pos="630"/>
          <w:tab w:val="num" w:pos="1134"/>
          <w:tab w:val="num" w:pos="1283"/>
        </w:tabs>
        <w:spacing w:after="0"/>
        <w:ind w:left="630" w:hanging="630"/>
        <w:jc w:val="both"/>
        <w:rPr>
          <w:rFonts w:cs="Arial"/>
          <w:szCs w:val="24"/>
        </w:rPr>
      </w:pPr>
      <w:r w:rsidRPr="003048F2">
        <w:rPr>
          <w:rFonts w:cs="Arial"/>
          <w:szCs w:val="24"/>
        </w:rPr>
        <w:t xml:space="preserve">A copy of the Outline Agreement </w:t>
      </w:r>
      <w:r w:rsidR="00D66DBC" w:rsidRPr="003048F2">
        <w:rPr>
          <w:rFonts w:cs="Arial"/>
          <w:szCs w:val="24"/>
        </w:rPr>
        <w:t xml:space="preserve">of the Growth Deal </w:t>
      </w:r>
      <w:r w:rsidRPr="003048F2">
        <w:rPr>
          <w:rFonts w:cs="Arial"/>
          <w:szCs w:val="24"/>
        </w:rPr>
        <w:t>is included in Appendix 1.</w:t>
      </w:r>
      <w:r w:rsidR="00D66DBC" w:rsidRPr="003048F2">
        <w:rPr>
          <w:rFonts w:cs="Arial"/>
          <w:szCs w:val="24"/>
        </w:rPr>
        <w:t xml:space="preserve">  The key elements of the deal, as set out in the Outline Agreement are:</w:t>
      </w:r>
    </w:p>
    <w:p w14:paraId="60770BFE" w14:textId="77777777" w:rsidR="003048F2" w:rsidRPr="003048F2" w:rsidRDefault="003048F2" w:rsidP="00F8588E"/>
    <w:p w14:paraId="52140B21" w14:textId="77777777" w:rsidR="00D66DBC" w:rsidRPr="003048F2" w:rsidRDefault="00D66DBC" w:rsidP="00F8588E">
      <w:pPr>
        <w:pStyle w:val="ReportPara"/>
        <w:numPr>
          <w:ilvl w:val="0"/>
          <w:numId w:val="2"/>
        </w:numPr>
        <w:spacing w:after="0"/>
        <w:ind w:left="1110"/>
        <w:jc w:val="both"/>
        <w:rPr>
          <w:rFonts w:cs="Arial"/>
          <w:szCs w:val="24"/>
        </w:rPr>
      </w:pPr>
      <w:r w:rsidRPr="003048F2">
        <w:rPr>
          <w:rFonts w:cs="Arial"/>
          <w:szCs w:val="24"/>
        </w:rPr>
        <w:t>Strategic Housing and Infrastructure Delivery</w:t>
      </w:r>
    </w:p>
    <w:p w14:paraId="65FBD47E" w14:textId="77777777" w:rsidR="00227412" w:rsidRPr="003048F2" w:rsidRDefault="00227412" w:rsidP="00F8588E">
      <w:pPr>
        <w:pStyle w:val="ReportPara"/>
        <w:numPr>
          <w:ilvl w:val="0"/>
          <w:numId w:val="2"/>
        </w:numPr>
        <w:spacing w:after="0"/>
        <w:jc w:val="both"/>
        <w:rPr>
          <w:rFonts w:cs="Arial"/>
          <w:szCs w:val="24"/>
        </w:rPr>
      </w:pPr>
      <w:r w:rsidRPr="003048F2">
        <w:rPr>
          <w:rFonts w:cs="Arial"/>
          <w:szCs w:val="24"/>
        </w:rPr>
        <w:t>A Joint Statutory Spatial Plan and Planning Flexibilities</w:t>
      </w:r>
    </w:p>
    <w:p w14:paraId="0913C802" w14:textId="77777777" w:rsidR="00D66DBC" w:rsidRDefault="00D66DBC" w:rsidP="00F8588E">
      <w:pPr>
        <w:pStyle w:val="ReportPara"/>
        <w:numPr>
          <w:ilvl w:val="0"/>
          <w:numId w:val="2"/>
        </w:numPr>
        <w:spacing w:after="0"/>
        <w:jc w:val="both"/>
        <w:rPr>
          <w:rFonts w:cs="Arial"/>
          <w:szCs w:val="24"/>
        </w:rPr>
      </w:pPr>
      <w:r w:rsidRPr="003048F2">
        <w:rPr>
          <w:rFonts w:cs="Arial"/>
          <w:szCs w:val="24"/>
        </w:rPr>
        <w:t>Productivity</w:t>
      </w:r>
    </w:p>
    <w:p w14:paraId="56ECAD39" w14:textId="77777777" w:rsidR="003048F2" w:rsidRPr="003048F2" w:rsidRDefault="003048F2" w:rsidP="003048F2">
      <w:pPr>
        <w:pStyle w:val="ReportPara"/>
        <w:numPr>
          <w:ilvl w:val="0"/>
          <w:numId w:val="0"/>
        </w:numPr>
        <w:spacing w:after="0"/>
        <w:ind w:left="1560"/>
        <w:jc w:val="both"/>
        <w:rPr>
          <w:rFonts w:cs="Arial"/>
          <w:szCs w:val="24"/>
        </w:rPr>
      </w:pPr>
    </w:p>
    <w:p w14:paraId="50BE3BE6" w14:textId="77777777" w:rsidR="009E0E26" w:rsidRDefault="00F02351" w:rsidP="00F8588E">
      <w:pPr>
        <w:pStyle w:val="ReportPara"/>
        <w:tabs>
          <w:tab w:val="clear" w:pos="1142"/>
          <w:tab w:val="num" w:pos="630"/>
          <w:tab w:val="num" w:pos="1134"/>
        </w:tabs>
        <w:spacing w:after="0"/>
        <w:ind w:left="630" w:hanging="630"/>
        <w:jc w:val="both"/>
        <w:rPr>
          <w:rFonts w:cs="Arial"/>
          <w:szCs w:val="24"/>
        </w:rPr>
      </w:pPr>
      <w:r w:rsidRPr="003048F2">
        <w:rPr>
          <w:rFonts w:cs="Arial"/>
          <w:szCs w:val="24"/>
        </w:rPr>
        <w:t xml:space="preserve">The objective of the Deal is to deliver transport and social infrastructure along with new housing. This includes road and rail, but </w:t>
      </w:r>
      <w:r w:rsidR="005678B0" w:rsidRPr="003048F2">
        <w:rPr>
          <w:rFonts w:cs="Arial"/>
          <w:szCs w:val="24"/>
        </w:rPr>
        <w:t xml:space="preserve">also </w:t>
      </w:r>
      <w:r w:rsidRPr="003048F2">
        <w:rPr>
          <w:rFonts w:cs="Arial"/>
          <w:szCs w:val="24"/>
        </w:rPr>
        <w:t>other infrastructure requirements such as schools, health centres and adult social care. Achieving our ambition for Oxfordshire will require a sustained partnership between local partners and Government, to secure investment to meet infrastructure needs and support local business growth and a highly skilled workforce.</w:t>
      </w:r>
    </w:p>
    <w:p w14:paraId="2D0CB861" w14:textId="77777777" w:rsidR="003048F2" w:rsidRPr="003048F2" w:rsidRDefault="003048F2" w:rsidP="00F8588E">
      <w:pPr>
        <w:pStyle w:val="ReportPara"/>
        <w:numPr>
          <w:ilvl w:val="0"/>
          <w:numId w:val="0"/>
        </w:numPr>
        <w:tabs>
          <w:tab w:val="num" w:pos="1134"/>
        </w:tabs>
        <w:spacing w:after="0"/>
        <w:ind w:left="630"/>
        <w:jc w:val="both"/>
        <w:rPr>
          <w:rFonts w:cs="Arial"/>
          <w:szCs w:val="24"/>
        </w:rPr>
      </w:pPr>
    </w:p>
    <w:p w14:paraId="5C0A2233" w14:textId="2E4ED79D" w:rsidR="00F02351" w:rsidRDefault="003E4558" w:rsidP="00F8588E">
      <w:pPr>
        <w:pStyle w:val="ReportPara"/>
        <w:tabs>
          <w:tab w:val="clear" w:pos="1142"/>
          <w:tab w:val="num" w:pos="630"/>
          <w:tab w:val="num" w:pos="1134"/>
        </w:tabs>
        <w:spacing w:after="0"/>
        <w:ind w:left="630" w:hanging="630"/>
        <w:jc w:val="both"/>
        <w:rPr>
          <w:rFonts w:cs="Arial"/>
          <w:szCs w:val="24"/>
        </w:rPr>
      </w:pPr>
      <w:r w:rsidRPr="003048F2">
        <w:rPr>
          <w:rFonts w:cs="Arial"/>
          <w:szCs w:val="24"/>
        </w:rPr>
        <w:lastRenderedPageBreak/>
        <w:t>Oxfordshire P</w:t>
      </w:r>
      <w:r w:rsidR="00F02351" w:rsidRPr="003048F2">
        <w:rPr>
          <w:rFonts w:cs="Arial"/>
          <w:szCs w:val="24"/>
        </w:rPr>
        <w:t xml:space="preserve">artners have also been engaging with the National Infrastructure Commission (NIC) and government departments in recent months to put forward the case for investment in Oxfordshire. As a result, the NIC’s report on the </w:t>
      </w:r>
      <w:r w:rsidR="00356D22">
        <w:rPr>
          <w:rFonts w:cs="Arial"/>
          <w:szCs w:val="24"/>
        </w:rPr>
        <w:t>Cambridge</w:t>
      </w:r>
      <w:r w:rsidR="00356D22" w:rsidRPr="003048F2">
        <w:rPr>
          <w:rFonts w:cs="Arial"/>
          <w:szCs w:val="24"/>
        </w:rPr>
        <w:t xml:space="preserve"> </w:t>
      </w:r>
      <w:r w:rsidR="00F02351" w:rsidRPr="003048F2">
        <w:rPr>
          <w:rFonts w:cs="Arial"/>
          <w:szCs w:val="24"/>
        </w:rPr>
        <w:t xml:space="preserve">–Milton Keynes- </w:t>
      </w:r>
      <w:r w:rsidR="00356D22">
        <w:rPr>
          <w:rFonts w:cs="Arial"/>
          <w:szCs w:val="24"/>
        </w:rPr>
        <w:t>Oxford</w:t>
      </w:r>
      <w:r w:rsidR="00F02351" w:rsidRPr="003048F2">
        <w:rPr>
          <w:rFonts w:cs="Arial"/>
          <w:szCs w:val="24"/>
        </w:rPr>
        <w:t xml:space="preserve"> corridor and Government’s initial response in the Chancellor’s Autumn Budget Statement recognises the corridor and Oxfordshire within it, as one of the key regions in driving the UK economy post Brexit. This opens up greater opportunities for Oxfordshire to work with </w:t>
      </w:r>
      <w:r w:rsidR="00081F66">
        <w:rPr>
          <w:rFonts w:cs="Arial"/>
          <w:szCs w:val="24"/>
        </w:rPr>
        <w:t>G</w:t>
      </w:r>
      <w:r w:rsidR="00F02351" w:rsidRPr="003048F2">
        <w:rPr>
          <w:rFonts w:cs="Arial"/>
          <w:szCs w:val="24"/>
        </w:rPr>
        <w:t>overnment to secure the on</w:t>
      </w:r>
      <w:r w:rsidR="005824CC" w:rsidRPr="003048F2">
        <w:rPr>
          <w:rFonts w:cs="Arial"/>
          <w:szCs w:val="24"/>
        </w:rPr>
        <w:t>-</w:t>
      </w:r>
      <w:r w:rsidR="00F02351" w:rsidRPr="003048F2">
        <w:rPr>
          <w:rFonts w:cs="Arial"/>
          <w:szCs w:val="24"/>
        </w:rPr>
        <w:t>going investment needed to deliver properly planned growth and economic development over the coming years.</w:t>
      </w:r>
    </w:p>
    <w:p w14:paraId="0BCEEAE1" w14:textId="77777777" w:rsidR="003048F2" w:rsidRPr="003048F2" w:rsidRDefault="003048F2" w:rsidP="00F8588E">
      <w:pPr>
        <w:pStyle w:val="ReportPara"/>
        <w:numPr>
          <w:ilvl w:val="0"/>
          <w:numId w:val="0"/>
        </w:numPr>
        <w:tabs>
          <w:tab w:val="num" w:pos="1134"/>
        </w:tabs>
        <w:spacing w:after="0"/>
        <w:ind w:left="630"/>
        <w:jc w:val="both"/>
        <w:rPr>
          <w:rFonts w:cs="Arial"/>
          <w:szCs w:val="24"/>
        </w:rPr>
      </w:pPr>
    </w:p>
    <w:p w14:paraId="1C155FE1" w14:textId="549810F4" w:rsidR="002B5663" w:rsidRDefault="002B5663" w:rsidP="00F8588E">
      <w:pPr>
        <w:pStyle w:val="ReportPara"/>
        <w:tabs>
          <w:tab w:val="clear" w:pos="1142"/>
          <w:tab w:val="num" w:pos="692"/>
        </w:tabs>
        <w:spacing w:after="0"/>
        <w:ind w:left="692" w:hanging="716"/>
        <w:rPr>
          <w:rFonts w:cs="Arial"/>
          <w:szCs w:val="24"/>
        </w:rPr>
      </w:pPr>
      <w:r w:rsidRPr="003048F2">
        <w:rPr>
          <w:rFonts w:cs="Arial"/>
          <w:szCs w:val="24"/>
        </w:rPr>
        <w:t xml:space="preserve">The Outline Deal Agreement was conditional on the completion of a Delivery Plan to be agreed with </w:t>
      </w:r>
      <w:r w:rsidR="00081F66">
        <w:rPr>
          <w:rFonts w:cs="Arial"/>
          <w:szCs w:val="24"/>
        </w:rPr>
        <w:t>G</w:t>
      </w:r>
      <w:r w:rsidRPr="003048F2">
        <w:rPr>
          <w:rFonts w:cs="Arial"/>
          <w:szCs w:val="24"/>
        </w:rPr>
        <w:t xml:space="preserve">overnment officials by 31 January 2018 and the approval of all of the Oxfordshire Councils to the Deal. The work on the Delivery Plan has been completed and this is attached at appendix 2.  </w:t>
      </w:r>
      <w:r w:rsidR="00F02351" w:rsidRPr="003048F2">
        <w:rPr>
          <w:rFonts w:cs="Arial"/>
          <w:szCs w:val="24"/>
        </w:rPr>
        <w:t xml:space="preserve"> </w:t>
      </w:r>
      <w:bookmarkStart w:id="1" w:name="_Ref497737596"/>
    </w:p>
    <w:p w14:paraId="7B0BFFAB" w14:textId="77777777" w:rsidR="003048F2" w:rsidRPr="003048F2" w:rsidRDefault="003048F2" w:rsidP="00F8588E">
      <w:pPr>
        <w:pStyle w:val="ReportPara"/>
        <w:numPr>
          <w:ilvl w:val="0"/>
          <w:numId w:val="0"/>
        </w:numPr>
        <w:spacing w:after="0"/>
        <w:ind w:left="692"/>
        <w:rPr>
          <w:rFonts w:cs="Arial"/>
          <w:szCs w:val="24"/>
        </w:rPr>
      </w:pPr>
    </w:p>
    <w:p w14:paraId="165C4786" w14:textId="77777777" w:rsidR="00227412" w:rsidRPr="003048F2" w:rsidRDefault="00227412" w:rsidP="00F8588E">
      <w:pPr>
        <w:pStyle w:val="ReportPara"/>
        <w:tabs>
          <w:tab w:val="clear" w:pos="1142"/>
          <w:tab w:val="num" w:pos="692"/>
        </w:tabs>
        <w:spacing w:after="0"/>
        <w:ind w:left="692" w:hanging="716"/>
        <w:rPr>
          <w:rFonts w:cs="Arial"/>
          <w:szCs w:val="24"/>
        </w:rPr>
      </w:pPr>
      <w:r w:rsidRPr="003048F2">
        <w:rPr>
          <w:rFonts w:cs="Arial"/>
          <w:szCs w:val="24"/>
        </w:rPr>
        <w:t>If approved by all Oxfordshire Partners, this will be confirmed in writing to the Secretary of State along with submission of the Delivery Plan for his agreement.</w:t>
      </w:r>
    </w:p>
    <w:p w14:paraId="6D3091A8" w14:textId="77777777" w:rsidR="003A0D8E" w:rsidRPr="003048F2" w:rsidRDefault="003A0D8E" w:rsidP="003048F2">
      <w:pPr>
        <w:pStyle w:val="ReportPara"/>
        <w:numPr>
          <w:ilvl w:val="0"/>
          <w:numId w:val="0"/>
        </w:numPr>
        <w:spacing w:after="0"/>
        <w:ind w:left="1142"/>
        <w:rPr>
          <w:rFonts w:cs="Arial"/>
          <w:szCs w:val="24"/>
        </w:rPr>
      </w:pPr>
    </w:p>
    <w:p w14:paraId="7B50B9C9" w14:textId="77777777" w:rsidR="003E4558" w:rsidRDefault="003E4558" w:rsidP="00215ADF">
      <w:pPr>
        <w:pStyle w:val="ReportPara"/>
        <w:numPr>
          <w:ilvl w:val="0"/>
          <w:numId w:val="0"/>
        </w:numPr>
        <w:tabs>
          <w:tab w:val="left" w:pos="142"/>
        </w:tabs>
        <w:spacing w:after="0"/>
        <w:jc w:val="both"/>
        <w:rPr>
          <w:rFonts w:cs="Arial"/>
          <w:b/>
          <w:szCs w:val="24"/>
        </w:rPr>
      </w:pPr>
      <w:r w:rsidRPr="003048F2">
        <w:rPr>
          <w:rFonts w:cs="Arial"/>
          <w:b/>
          <w:szCs w:val="24"/>
        </w:rPr>
        <w:t>Strategic Housing and Infrastructure Delivery</w:t>
      </w:r>
    </w:p>
    <w:p w14:paraId="62F4599D" w14:textId="77777777" w:rsidR="003048F2" w:rsidRPr="003048F2" w:rsidRDefault="003048F2" w:rsidP="003048F2">
      <w:pPr>
        <w:pStyle w:val="ReportPara"/>
        <w:numPr>
          <w:ilvl w:val="0"/>
          <w:numId w:val="0"/>
        </w:numPr>
        <w:spacing w:after="0"/>
        <w:ind w:left="1142" w:hanging="432"/>
        <w:jc w:val="both"/>
        <w:rPr>
          <w:rFonts w:cs="Arial"/>
          <w:b/>
          <w:szCs w:val="24"/>
        </w:rPr>
      </w:pPr>
    </w:p>
    <w:p w14:paraId="531ED724" w14:textId="70E06305" w:rsidR="003E4558" w:rsidRDefault="003E4558" w:rsidP="00F8588E">
      <w:pPr>
        <w:pStyle w:val="ReportPara"/>
        <w:tabs>
          <w:tab w:val="clear" w:pos="1142"/>
          <w:tab w:val="num" w:pos="716"/>
        </w:tabs>
        <w:spacing w:after="0"/>
        <w:ind w:left="716" w:hanging="716"/>
        <w:rPr>
          <w:rFonts w:cs="Arial"/>
          <w:szCs w:val="24"/>
        </w:rPr>
      </w:pPr>
      <w:r w:rsidRPr="003048F2">
        <w:rPr>
          <w:rFonts w:cs="Arial"/>
          <w:szCs w:val="24"/>
        </w:rPr>
        <w:t xml:space="preserve">Under the terms of the deal the Government will provide Oxfordshire’s six local authorities £150 million of funding (£30m for five years) for infrastructure improvements and £60 million of funding for affordable housing that will benefit existing communities and unlock new development sites. </w:t>
      </w:r>
    </w:p>
    <w:p w14:paraId="61306AA0" w14:textId="77777777" w:rsidR="003048F2" w:rsidRPr="003048F2" w:rsidRDefault="003048F2" w:rsidP="00F8588E">
      <w:pPr>
        <w:pStyle w:val="ReportPara"/>
        <w:numPr>
          <w:ilvl w:val="0"/>
          <w:numId w:val="0"/>
        </w:numPr>
        <w:spacing w:after="0"/>
        <w:ind w:left="716"/>
        <w:rPr>
          <w:rFonts w:cs="Arial"/>
          <w:szCs w:val="24"/>
        </w:rPr>
      </w:pPr>
    </w:p>
    <w:p w14:paraId="19776135" w14:textId="232699A7" w:rsidR="003E4558" w:rsidRDefault="003E4558" w:rsidP="00F8588E">
      <w:pPr>
        <w:pStyle w:val="ReportPara"/>
        <w:tabs>
          <w:tab w:val="clear" w:pos="1142"/>
          <w:tab w:val="num" w:pos="654"/>
          <w:tab w:val="num" w:pos="1134"/>
        </w:tabs>
        <w:spacing w:after="0"/>
        <w:ind w:left="654" w:hanging="630"/>
        <w:jc w:val="both"/>
        <w:rPr>
          <w:rFonts w:cs="Arial"/>
          <w:szCs w:val="24"/>
        </w:rPr>
      </w:pPr>
      <w:r w:rsidRPr="003048F2">
        <w:rPr>
          <w:rFonts w:cs="Arial"/>
          <w:szCs w:val="24"/>
        </w:rPr>
        <w:t xml:space="preserve">The Deal is intended to support Oxfordshire’s ambition to </w:t>
      </w:r>
      <w:r w:rsidR="00356D22">
        <w:rPr>
          <w:rFonts w:cs="Arial"/>
          <w:szCs w:val="24"/>
        </w:rPr>
        <w:t>plan and support the delivery of</w:t>
      </w:r>
      <w:r w:rsidRPr="003048F2">
        <w:rPr>
          <w:rFonts w:cs="Arial"/>
          <w:szCs w:val="24"/>
        </w:rPr>
        <w:t xml:space="preserve"> 100,000 new homes between 2011 and 2031.  Funding received through the Deal, together with further anticipated funding from other opportunities will help accelerate the delivery of planned homes and in a way that ensures both existing and new communities created are properly supported by enhanced transport and social infrastructure.</w:t>
      </w:r>
    </w:p>
    <w:p w14:paraId="13D8E302" w14:textId="77777777" w:rsidR="003048F2" w:rsidRPr="003048F2" w:rsidRDefault="003048F2" w:rsidP="00F8588E">
      <w:pPr>
        <w:pStyle w:val="ReportPara"/>
        <w:numPr>
          <w:ilvl w:val="0"/>
          <w:numId w:val="0"/>
        </w:numPr>
        <w:tabs>
          <w:tab w:val="num" w:pos="1134"/>
        </w:tabs>
        <w:spacing w:after="0"/>
        <w:ind w:left="654"/>
        <w:jc w:val="both"/>
        <w:rPr>
          <w:rFonts w:cs="Arial"/>
          <w:szCs w:val="24"/>
        </w:rPr>
      </w:pPr>
    </w:p>
    <w:p w14:paraId="02897269" w14:textId="64354CCE" w:rsidR="003E4558" w:rsidRDefault="003E4558" w:rsidP="00F8588E">
      <w:pPr>
        <w:pStyle w:val="ReportPara"/>
        <w:tabs>
          <w:tab w:val="clear" w:pos="1142"/>
          <w:tab w:val="num" w:pos="654"/>
          <w:tab w:val="num" w:pos="1134"/>
        </w:tabs>
        <w:spacing w:after="0"/>
        <w:ind w:left="654" w:hanging="630"/>
        <w:jc w:val="both"/>
        <w:rPr>
          <w:rFonts w:cs="Arial"/>
          <w:szCs w:val="24"/>
        </w:rPr>
      </w:pPr>
      <w:r w:rsidRPr="003048F2">
        <w:rPr>
          <w:rFonts w:cs="Arial"/>
          <w:szCs w:val="24"/>
        </w:rPr>
        <w:t xml:space="preserve"> In addition to the Deal, in September, Oxfordshire County Council submitted bids for up to £500 million of funding from the Housing Infrastructure Fund to support transport schemes for the Didcot Garden Town, West Oxfordshire and the North of Oxford.</w:t>
      </w:r>
      <w:r w:rsidR="003024ED">
        <w:rPr>
          <w:rFonts w:cs="Arial"/>
          <w:szCs w:val="24"/>
        </w:rPr>
        <w:t xml:space="preserve"> Decisions on these bids are expected in </w:t>
      </w:r>
      <w:proofErr w:type="gramStart"/>
      <w:r w:rsidR="003024ED">
        <w:rPr>
          <w:rFonts w:cs="Arial"/>
          <w:szCs w:val="24"/>
        </w:rPr>
        <w:t>Autumn</w:t>
      </w:r>
      <w:proofErr w:type="gramEnd"/>
      <w:r w:rsidR="003024ED">
        <w:rPr>
          <w:rFonts w:cs="Arial"/>
          <w:szCs w:val="24"/>
        </w:rPr>
        <w:t xml:space="preserve"> 2018.  The Deal investment programme may need to be amended to reflect the outcome.</w:t>
      </w:r>
      <w:r w:rsidRPr="003048F2">
        <w:rPr>
          <w:rFonts w:cs="Arial"/>
          <w:szCs w:val="24"/>
        </w:rPr>
        <w:t xml:space="preserve"> </w:t>
      </w:r>
      <w:r w:rsidR="00260C19" w:rsidRPr="003048F2">
        <w:rPr>
          <w:rFonts w:cs="Arial"/>
          <w:szCs w:val="24"/>
        </w:rPr>
        <w:t>The Districts have also submitted a number of bids to the Marginal Viability element of this funding</w:t>
      </w:r>
      <w:r w:rsidR="00081F66">
        <w:rPr>
          <w:rFonts w:cs="Arial"/>
          <w:szCs w:val="24"/>
        </w:rPr>
        <w:t xml:space="preserve"> and have recently been advised that five bids totalling circa £36 million have been successful, three in Oxford and one each in Vale and </w:t>
      </w:r>
      <w:r w:rsidR="003024ED">
        <w:rPr>
          <w:rFonts w:cs="Arial"/>
          <w:szCs w:val="24"/>
        </w:rPr>
        <w:t xml:space="preserve">Cherwell.  </w:t>
      </w:r>
    </w:p>
    <w:p w14:paraId="6DF6DFD6" w14:textId="77777777" w:rsidR="003048F2" w:rsidRPr="003048F2" w:rsidRDefault="003048F2" w:rsidP="00F8588E">
      <w:pPr>
        <w:pStyle w:val="ReportPara"/>
        <w:numPr>
          <w:ilvl w:val="0"/>
          <w:numId w:val="0"/>
        </w:numPr>
        <w:tabs>
          <w:tab w:val="num" w:pos="1134"/>
        </w:tabs>
        <w:spacing w:after="0"/>
        <w:ind w:left="654"/>
        <w:jc w:val="both"/>
        <w:rPr>
          <w:rFonts w:cs="Arial"/>
          <w:szCs w:val="24"/>
        </w:rPr>
      </w:pPr>
    </w:p>
    <w:p w14:paraId="32F60FB4" w14:textId="6BC0957D" w:rsidR="008307EE" w:rsidRDefault="003E4558" w:rsidP="00F8588E">
      <w:pPr>
        <w:pStyle w:val="ReportPara"/>
        <w:tabs>
          <w:tab w:val="num" w:pos="654"/>
        </w:tabs>
        <w:spacing w:after="0"/>
        <w:ind w:left="654" w:hanging="630"/>
        <w:jc w:val="both"/>
        <w:rPr>
          <w:rFonts w:cs="Arial"/>
          <w:szCs w:val="24"/>
        </w:rPr>
      </w:pPr>
      <w:r w:rsidRPr="003048F2">
        <w:rPr>
          <w:rFonts w:cs="Arial"/>
          <w:szCs w:val="24"/>
        </w:rPr>
        <w:t>Investment in infrastructure is recognised in the Oxfordshire Infrastructure strategy (</w:t>
      </w:r>
      <w:proofErr w:type="spellStart"/>
      <w:r w:rsidRPr="003048F2">
        <w:rPr>
          <w:rFonts w:cs="Arial"/>
          <w:szCs w:val="24"/>
        </w:rPr>
        <w:t>OxIS</w:t>
      </w:r>
      <w:proofErr w:type="spellEnd"/>
      <w:r w:rsidRPr="003048F2">
        <w:rPr>
          <w:rFonts w:cs="Arial"/>
          <w:szCs w:val="24"/>
        </w:rPr>
        <w:t>) as a prime requirement of sustainable growth. The Oxfordshire Infrastructure Strategy (</w:t>
      </w:r>
      <w:proofErr w:type="spellStart"/>
      <w:r w:rsidRPr="003048F2">
        <w:rPr>
          <w:rFonts w:cs="Arial"/>
          <w:szCs w:val="24"/>
        </w:rPr>
        <w:t>OxIS</w:t>
      </w:r>
      <w:proofErr w:type="spellEnd"/>
      <w:r w:rsidRPr="003048F2">
        <w:rPr>
          <w:rFonts w:cs="Arial"/>
          <w:szCs w:val="24"/>
        </w:rPr>
        <w:t>) identified £8.35bn of infrastructure investment is</w:t>
      </w:r>
      <w:r w:rsidR="008307EE" w:rsidRPr="003048F2">
        <w:rPr>
          <w:rFonts w:cs="Arial"/>
          <w:szCs w:val="24"/>
        </w:rPr>
        <w:t xml:space="preserve"> needed for Oxfordshire by 2040.  A substantial part of this requirement will be </w:t>
      </w:r>
      <w:r w:rsidR="00260C19" w:rsidRPr="003048F2">
        <w:rPr>
          <w:rFonts w:cs="Arial"/>
          <w:szCs w:val="24"/>
        </w:rPr>
        <w:t xml:space="preserve">provided from national and strategic infrastructure funding and developer contributions. Closing the remaining infrastructure gap </w:t>
      </w:r>
      <w:r w:rsidR="003024ED" w:rsidRPr="003048F2">
        <w:rPr>
          <w:rFonts w:cs="Arial"/>
          <w:szCs w:val="24"/>
        </w:rPr>
        <w:t xml:space="preserve">will </w:t>
      </w:r>
      <w:r w:rsidR="003024ED">
        <w:rPr>
          <w:rFonts w:cs="Arial"/>
          <w:szCs w:val="24"/>
        </w:rPr>
        <w:t>take</w:t>
      </w:r>
      <w:r w:rsidR="00260C19" w:rsidRPr="003048F2">
        <w:rPr>
          <w:rFonts w:cs="Arial"/>
          <w:szCs w:val="24"/>
        </w:rPr>
        <w:t xml:space="preserve"> a long term and sustained approach from the Oxfordshire Partners to maximise opportunities to secure investment.  </w:t>
      </w:r>
    </w:p>
    <w:p w14:paraId="24C539A5" w14:textId="77777777" w:rsidR="003048F2" w:rsidRPr="003048F2" w:rsidRDefault="003048F2" w:rsidP="00F8588E">
      <w:pPr>
        <w:pStyle w:val="ReportPara"/>
        <w:numPr>
          <w:ilvl w:val="0"/>
          <w:numId w:val="0"/>
        </w:numPr>
        <w:tabs>
          <w:tab w:val="num" w:pos="1142"/>
        </w:tabs>
        <w:spacing w:after="0"/>
        <w:ind w:left="654"/>
        <w:jc w:val="both"/>
        <w:rPr>
          <w:rFonts w:cs="Arial"/>
          <w:szCs w:val="24"/>
        </w:rPr>
      </w:pPr>
    </w:p>
    <w:p w14:paraId="3D412CD5" w14:textId="7E0348BE" w:rsidR="00260C19" w:rsidRDefault="00260C19" w:rsidP="00F8588E">
      <w:pPr>
        <w:pStyle w:val="ReportPara"/>
        <w:tabs>
          <w:tab w:val="num" w:pos="654"/>
        </w:tabs>
        <w:spacing w:after="0"/>
        <w:ind w:left="654" w:hanging="630"/>
        <w:jc w:val="both"/>
        <w:rPr>
          <w:rFonts w:cs="Arial"/>
          <w:szCs w:val="24"/>
        </w:rPr>
      </w:pPr>
      <w:r w:rsidRPr="003048F2">
        <w:rPr>
          <w:rFonts w:cs="Arial"/>
          <w:szCs w:val="24"/>
        </w:rPr>
        <w:t xml:space="preserve">The Deal is recognised as the current opportunity to secure </w:t>
      </w:r>
      <w:r w:rsidR="00081F66">
        <w:rPr>
          <w:rFonts w:cs="Arial"/>
          <w:szCs w:val="24"/>
        </w:rPr>
        <w:t xml:space="preserve">such </w:t>
      </w:r>
      <w:r w:rsidRPr="003048F2">
        <w:rPr>
          <w:rFonts w:cs="Arial"/>
          <w:szCs w:val="24"/>
        </w:rPr>
        <w:t xml:space="preserve">investment.  It also recognises that significant further investment is needed and commits Government to working with Oxfordshire to secure further investment. </w:t>
      </w:r>
    </w:p>
    <w:p w14:paraId="0861C292" w14:textId="77777777" w:rsidR="003048F2" w:rsidRPr="003048F2" w:rsidRDefault="003048F2" w:rsidP="00F8588E">
      <w:pPr>
        <w:pStyle w:val="ReportPara"/>
        <w:numPr>
          <w:ilvl w:val="0"/>
          <w:numId w:val="0"/>
        </w:numPr>
        <w:tabs>
          <w:tab w:val="num" w:pos="1142"/>
        </w:tabs>
        <w:spacing w:after="0"/>
        <w:ind w:left="654"/>
        <w:jc w:val="both"/>
        <w:rPr>
          <w:rFonts w:cs="Arial"/>
          <w:szCs w:val="24"/>
        </w:rPr>
      </w:pPr>
    </w:p>
    <w:p w14:paraId="297210B0" w14:textId="77777777" w:rsidR="003E4558" w:rsidRDefault="00260C19" w:rsidP="00F8588E">
      <w:pPr>
        <w:pStyle w:val="ReportPara"/>
        <w:tabs>
          <w:tab w:val="num" w:pos="654"/>
        </w:tabs>
        <w:spacing w:after="0"/>
        <w:ind w:left="654" w:hanging="630"/>
        <w:jc w:val="both"/>
        <w:rPr>
          <w:rFonts w:cs="Arial"/>
          <w:szCs w:val="24"/>
        </w:rPr>
      </w:pPr>
      <w:r w:rsidRPr="003048F2">
        <w:rPr>
          <w:rFonts w:cs="Arial"/>
          <w:szCs w:val="24"/>
        </w:rPr>
        <w:t>As part of this, the Deal</w:t>
      </w:r>
      <w:r w:rsidR="003E4558" w:rsidRPr="003048F2">
        <w:rPr>
          <w:rFonts w:cs="Arial"/>
          <w:szCs w:val="24"/>
        </w:rPr>
        <w:t xml:space="preserve"> asks the Oxfordshire partners to consider introducing a Strategic Infrastructure Tariff, and to look for opportunities to bring in further new private investment.</w:t>
      </w:r>
    </w:p>
    <w:p w14:paraId="17F70BE1" w14:textId="77777777" w:rsidR="003048F2" w:rsidRPr="003048F2" w:rsidRDefault="003048F2" w:rsidP="00F8588E">
      <w:pPr>
        <w:pStyle w:val="ReportPara"/>
        <w:numPr>
          <w:ilvl w:val="0"/>
          <w:numId w:val="0"/>
        </w:numPr>
        <w:tabs>
          <w:tab w:val="num" w:pos="1142"/>
        </w:tabs>
        <w:spacing w:after="0"/>
        <w:ind w:left="654"/>
        <w:jc w:val="both"/>
        <w:rPr>
          <w:rFonts w:cs="Arial"/>
          <w:szCs w:val="24"/>
        </w:rPr>
      </w:pPr>
    </w:p>
    <w:p w14:paraId="0BD1085F" w14:textId="77777777" w:rsidR="0010108D" w:rsidRDefault="003E4558" w:rsidP="00F8588E">
      <w:pPr>
        <w:pStyle w:val="ReportPara"/>
        <w:tabs>
          <w:tab w:val="num" w:pos="654"/>
        </w:tabs>
        <w:spacing w:after="0"/>
        <w:ind w:left="654" w:hanging="630"/>
        <w:jc w:val="both"/>
        <w:rPr>
          <w:rFonts w:cs="Arial"/>
          <w:szCs w:val="24"/>
        </w:rPr>
      </w:pPr>
      <w:r w:rsidRPr="003048F2">
        <w:rPr>
          <w:rFonts w:cs="Arial"/>
          <w:szCs w:val="24"/>
        </w:rPr>
        <w:t xml:space="preserve">The Delivery Plan sets out the proposed methodology and decision making process for the funding according to criteria agreed with Government. This includes an infrastructure investment programme for year one. The programme for future years will be agreed by September 2018. </w:t>
      </w:r>
    </w:p>
    <w:p w14:paraId="070F447B" w14:textId="77777777" w:rsidR="0010108D" w:rsidRDefault="0010108D" w:rsidP="00F8588E">
      <w:pPr>
        <w:pStyle w:val="ListParagraph"/>
        <w:ind w:left="294"/>
        <w:rPr>
          <w:rFonts w:cs="Arial"/>
          <w:szCs w:val="24"/>
        </w:rPr>
      </w:pPr>
    </w:p>
    <w:p w14:paraId="7B8F6557" w14:textId="4C1858E5" w:rsidR="003E4558" w:rsidRPr="0010108D" w:rsidRDefault="0010108D" w:rsidP="00F8588E">
      <w:pPr>
        <w:pStyle w:val="ReportPara"/>
        <w:tabs>
          <w:tab w:val="num" w:pos="654"/>
        </w:tabs>
        <w:spacing w:after="0"/>
        <w:ind w:left="654" w:hanging="630"/>
        <w:jc w:val="both"/>
        <w:rPr>
          <w:rFonts w:cs="Arial"/>
          <w:szCs w:val="24"/>
        </w:rPr>
      </w:pPr>
      <w:r w:rsidRPr="00CA5D49">
        <w:rPr>
          <w:rFonts w:cs="Arial"/>
          <w:szCs w:val="24"/>
        </w:rPr>
        <w:t>The £60 million affordable funding will support a flexible Oxfordshire-wide programme to deliver</w:t>
      </w:r>
      <w:r>
        <w:rPr>
          <w:rFonts w:cs="Arial"/>
          <w:szCs w:val="24"/>
        </w:rPr>
        <w:t xml:space="preserve"> an additional 1,320 affordable homes of a range</w:t>
      </w:r>
      <w:r w:rsidRPr="00CA5D49">
        <w:rPr>
          <w:rFonts w:cs="Arial"/>
          <w:szCs w:val="24"/>
        </w:rPr>
        <w:t xml:space="preserve"> of tenures to start on site by 2021. The fund is in addition to the existing HCA Affordable Housing Programme which will continue. This gives Oxfordshire partners the opportunity to use the funding to deliver schemes according to local priorities and </w:t>
      </w:r>
      <w:r>
        <w:rPr>
          <w:rFonts w:cs="Arial"/>
          <w:szCs w:val="24"/>
        </w:rPr>
        <w:t>using a range of delivery vehicles</w:t>
      </w:r>
      <w:r w:rsidRPr="00CA5D49">
        <w:rPr>
          <w:rFonts w:cs="Arial"/>
          <w:szCs w:val="24"/>
        </w:rPr>
        <w:t xml:space="preserve">.  </w:t>
      </w:r>
      <w:r w:rsidR="003E4558" w:rsidRPr="0010108D">
        <w:rPr>
          <w:rFonts w:cs="Arial"/>
          <w:szCs w:val="24"/>
        </w:rPr>
        <w:t xml:space="preserve">The first year of the affordable housing </w:t>
      </w:r>
      <w:r w:rsidR="00081F66">
        <w:rPr>
          <w:rFonts w:cs="Arial"/>
          <w:szCs w:val="24"/>
        </w:rPr>
        <w:t xml:space="preserve">delivery programme </w:t>
      </w:r>
      <w:r w:rsidR="003E4558" w:rsidRPr="0010108D">
        <w:rPr>
          <w:rFonts w:cs="Arial"/>
          <w:szCs w:val="24"/>
        </w:rPr>
        <w:t xml:space="preserve">will be agreed by 31 March 2018. </w:t>
      </w:r>
    </w:p>
    <w:p w14:paraId="472FBA0F" w14:textId="77777777" w:rsidR="003E4558" w:rsidRPr="003048F2" w:rsidRDefault="003E4558" w:rsidP="00F8588E"/>
    <w:p w14:paraId="0D01AA3E" w14:textId="1AE16387" w:rsidR="00D66DBC" w:rsidRDefault="00D66DBC" w:rsidP="00215ADF">
      <w:pPr>
        <w:pStyle w:val="ReportPara"/>
        <w:numPr>
          <w:ilvl w:val="0"/>
          <w:numId w:val="0"/>
        </w:numPr>
        <w:tabs>
          <w:tab w:val="num" w:pos="1080"/>
        </w:tabs>
        <w:spacing w:after="0"/>
        <w:jc w:val="both"/>
        <w:rPr>
          <w:rFonts w:cs="Arial"/>
          <w:b/>
          <w:szCs w:val="24"/>
        </w:rPr>
      </w:pPr>
      <w:r w:rsidRPr="003048F2">
        <w:rPr>
          <w:rFonts w:cs="Arial"/>
          <w:b/>
          <w:szCs w:val="24"/>
        </w:rPr>
        <w:t xml:space="preserve">Joint </w:t>
      </w:r>
      <w:r w:rsidR="00C84B3F">
        <w:rPr>
          <w:rFonts w:cs="Arial"/>
          <w:b/>
          <w:szCs w:val="24"/>
        </w:rPr>
        <w:t>Statutory</w:t>
      </w:r>
      <w:r w:rsidR="00C84B3F" w:rsidRPr="003048F2">
        <w:rPr>
          <w:rFonts w:cs="Arial"/>
          <w:b/>
          <w:szCs w:val="24"/>
        </w:rPr>
        <w:t xml:space="preserve"> </w:t>
      </w:r>
      <w:r w:rsidRPr="003048F2">
        <w:rPr>
          <w:rFonts w:cs="Arial"/>
          <w:b/>
          <w:szCs w:val="24"/>
        </w:rPr>
        <w:t>Spatial Plan and Planning flexibilities</w:t>
      </w:r>
    </w:p>
    <w:p w14:paraId="13ECC95E" w14:textId="77777777" w:rsidR="003048F2" w:rsidRPr="003048F2" w:rsidRDefault="003048F2" w:rsidP="003048F2">
      <w:pPr>
        <w:pStyle w:val="ReportPara"/>
        <w:numPr>
          <w:ilvl w:val="0"/>
          <w:numId w:val="0"/>
        </w:numPr>
        <w:tabs>
          <w:tab w:val="num" w:pos="1080"/>
        </w:tabs>
        <w:spacing w:after="0"/>
        <w:ind w:left="426"/>
        <w:jc w:val="both"/>
        <w:rPr>
          <w:rFonts w:cs="Arial"/>
          <w:b/>
          <w:szCs w:val="24"/>
        </w:rPr>
      </w:pPr>
    </w:p>
    <w:p w14:paraId="7DF5E181" w14:textId="77777777" w:rsidR="00D66DBC" w:rsidRDefault="00D66DBC" w:rsidP="00F8588E">
      <w:pPr>
        <w:pStyle w:val="ReportPara"/>
        <w:tabs>
          <w:tab w:val="clear" w:pos="1142"/>
          <w:tab w:val="num" w:pos="630"/>
          <w:tab w:val="num" w:pos="1134"/>
        </w:tabs>
        <w:spacing w:after="0"/>
        <w:ind w:left="630" w:hanging="630"/>
        <w:jc w:val="both"/>
        <w:rPr>
          <w:rFonts w:cs="Arial"/>
          <w:szCs w:val="24"/>
        </w:rPr>
      </w:pPr>
      <w:r w:rsidRPr="003048F2">
        <w:rPr>
          <w:rFonts w:cs="Arial"/>
          <w:szCs w:val="24"/>
        </w:rPr>
        <w:t xml:space="preserve">A key commitment </w:t>
      </w:r>
      <w:r w:rsidR="00DD0B49" w:rsidRPr="003048F2">
        <w:rPr>
          <w:rFonts w:cs="Arial"/>
          <w:szCs w:val="24"/>
        </w:rPr>
        <w:t>for</w:t>
      </w:r>
      <w:r w:rsidRPr="003048F2">
        <w:rPr>
          <w:rFonts w:cs="Arial"/>
          <w:szCs w:val="24"/>
        </w:rPr>
        <w:t xml:space="preserve"> Oxfordshire </w:t>
      </w:r>
      <w:r w:rsidR="00961E08" w:rsidRPr="003048F2">
        <w:rPr>
          <w:rFonts w:cs="Arial"/>
          <w:szCs w:val="24"/>
        </w:rPr>
        <w:t>in</w:t>
      </w:r>
      <w:r w:rsidRPr="003048F2">
        <w:rPr>
          <w:rFonts w:cs="Arial"/>
          <w:szCs w:val="24"/>
        </w:rPr>
        <w:t xml:space="preserve"> the deal is the development of an Oxfordshire Joint Statutory Spatial Plan (JSSP). Building on the existing Local Plans, the Oxfordshire Infrastructure Strategy and Oxfordshire Transport Strategy, the JSSP will set the strategic direction for planning to 2050.</w:t>
      </w:r>
    </w:p>
    <w:p w14:paraId="5CD90135" w14:textId="77777777" w:rsidR="003048F2" w:rsidRPr="003048F2" w:rsidRDefault="003048F2" w:rsidP="00F8588E">
      <w:pPr>
        <w:pStyle w:val="ReportPara"/>
        <w:numPr>
          <w:ilvl w:val="0"/>
          <w:numId w:val="0"/>
        </w:numPr>
        <w:tabs>
          <w:tab w:val="num" w:pos="1134"/>
        </w:tabs>
        <w:spacing w:after="0"/>
        <w:ind w:left="630"/>
        <w:jc w:val="both"/>
        <w:rPr>
          <w:rFonts w:cs="Arial"/>
          <w:szCs w:val="24"/>
        </w:rPr>
      </w:pPr>
    </w:p>
    <w:p w14:paraId="7F9F1FFB" w14:textId="5BF9FDDA" w:rsidR="009C0D15" w:rsidRPr="009C0D15" w:rsidRDefault="00B31F4F" w:rsidP="00F8588E">
      <w:pPr>
        <w:pStyle w:val="ReportPara"/>
        <w:tabs>
          <w:tab w:val="num" w:pos="630"/>
        </w:tabs>
        <w:spacing w:after="0"/>
        <w:ind w:left="630" w:hanging="630"/>
        <w:jc w:val="both"/>
        <w:rPr>
          <w:rFonts w:cs="Arial"/>
          <w:szCs w:val="24"/>
        </w:rPr>
      </w:pPr>
      <w:r w:rsidRPr="009C0D15">
        <w:rPr>
          <w:rFonts w:cs="Arial"/>
          <w:szCs w:val="24"/>
        </w:rPr>
        <w:t xml:space="preserve">The Oxfordshire authorities have been considering the case for working together on a JSSP for a number of months. A business plan for production of the JSSP </w:t>
      </w:r>
      <w:r w:rsidR="00081F66" w:rsidRPr="009C0D15">
        <w:rPr>
          <w:rFonts w:cs="Arial"/>
          <w:szCs w:val="24"/>
        </w:rPr>
        <w:t>was</w:t>
      </w:r>
      <w:r w:rsidRPr="009C0D15">
        <w:rPr>
          <w:rFonts w:cs="Arial"/>
          <w:szCs w:val="24"/>
        </w:rPr>
        <w:t xml:space="preserve"> produced</w:t>
      </w:r>
      <w:r w:rsidR="009C0D15" w:rsidRPr="009C0D15">
        <w:rPr>
          <w:rFonts w:cs="Arial"/>
          <w:szCs w:val="24"/>
        </w:rPr>
        <w:t xml:space="preserve"> i</w:t>
      </w:r>
      <w:r w:rsidRPr="009C0D15">
        <w:rPr>
          <w:rFonts w:cs="Arial"/>
          <w:szCs w:val="24"/>
        </w:rPr>
        <w:t xml:space="preserve">n October, in advance of the </w:t>
      </w:r>
      <w:r w:rsidR="00081F66" w:rsidRPr="009C0D15">
        <w:rPr>
          <w:rFonts w:cs="Arial"/>
          <w:szCs w:val="24"/>
        </w:rPr>
        <w:t>D</w:t>
      </w:r>
      <w:r w:rsidRPr="009C0D15">
        <w:rPr>
          <w:rFonts w:cs="Arial"/>
          <w:szCs w:val="24"/>
        </w:rPr>
        <w:t>eal</w:t>
      </w:r>
      <w:r w:rsidR="009C0D15" w:rsidRPr="009C0D15">
        <w:rPr>
          <w:rFonts w:cs="Arial"/>
          <w:szCs w:val="24"/>
        </w:rPr>
        <w:t>,</w:t>
      </w:r>
      <w:r w:rsidR="00081F66" w:rsidRPr="009C0D15">
        <w:rPr>
          <w:rFonts w:cs="Arial"/>
          <w:szCs w:val="24"/>
        </w:rPr>
        <w:t xml:space="preserve"> and </w:t>
      </w:r>
      <w:r w:rsidRPr="009C0D15">
        <w:rPr>
          <w:rFonts w:cs="Arial"/>
          <w:szCs w:val="24"/>
        </w:rPr>
        <w:t>was endorsed by the Growth Board</w:t>
      </w:r>
      <w:r w:rsidR="00081F66" w:rsidRPr="009C0D15">
        <w:rPr>
          <w:rFonts w:cs="Arial"/>
          <w:szCs w:val="24"/>
        </w:rPr>
        <w:t>,</w:t>
      </w:r>
      <w:r w:rsidRPr="009C0D15">
        <w:rPr>
          <w:rFonts w:cs="Arial"/>
          <w:szCs w:val="24"/>
        </w:rPr>
        <w:t xml:space="preserve"> which recommended to Oxfordshire Authorities that they should work together on a JSSP.</w:t>
      </w:r>
    </w:p>
    <w:p w14:paraId="626BF790" w14:textId="77777777" w:rsidR="003048F2" w:rsidRPr="003048F2" w:rsidRDefault="003048F2" w:rsidP="00F8588E">
      <w:pPr>
        <w:pStyle w:val="ReportPara"/>
        <w:numPr>
          <w:ilvl w:val="0"/>
          <w:numId w:val="0"/>
        </w:numPr>
        <w:tabs>
          <w:tab w:val="num" w:pos="1134"/>
        </w:tabs>
        <w:spacing w:after="0"/>
        <w:ind w:left="630"/>
        <w:jc w:val="both"/>
        <w:rPr>
          <w:rFonts w:cs="Arial"/>
          <w:szCs w:val="24"/>
        </w:rPr>
      </w:pPr>
    </w:p>
    <w:p w14:paraId="63053417" w14:textId="77777777" w:rsidR="00162524" w:rsidRDefault="00E039E1" w:rsidP="00F8588E">
      <w:pPr>
        <w:pStyle w:val="ReportPara"/>
        <w:tabs>
          <w:tab w:val="clear" w:pos="1142"/>
          <w:tab w:val="num" w:pos="630"/>
          <w:tab w:val="num" w:pos="1134"/>
        </w:tabs>
        <w:spacing w:after="0"/>
        <w:ind w:left="630" w:hanging="630"/>
        <w:jc w:val="both"/>
        <w:rPr>
          <w:rFonts w:cs="Arial"/>
          <w:szCs w:val="24"/>
        </w:rPr>
      </w:pPr>
      <w:r w:rsidRPr="003048F2">
        <w:rPr>
          <w:rFonts w:cs="Arial"/>
          <w:szCs w:val="24"/>
        </w:rPr>
        <w:t xml:space="preserve">The approval of the </w:t>
      </w:r>
      <w:r w:rsidR="00B31F4F" w:rsidRPr="003048F2">
        <w:rPr>
          <w:rFonts w:cs="Arial"/>
          <w:szCs w:val="24"/>
        </w:rPr>
        <w:t>Deal</w:t>
      </w:r>
      <w:r w:rsidRPr="003048F2">
        <w:rPr>
          <w:rFonts w:cs="Arial"/>
          <w:szCs w:val="24"/>
        </w:rPr>
        <w:t xml:space="preserve"> </w:t>
      </w:r>
      <w:r w:rsidR="00491207" w:rsidRPr="003048F2">
        <w:rPr>
          <w:rFonts w:cs="Arial"/>
          <w:szCs w:val="24"/>
        </w:rPr>
        <w:t>provides</w:t>
      </w:r>
      <w:r w:rsidRPr="003048F2">
        <w:rPr>
          <w:rFonts w:cs="Arial"/>
          <w:szCs w:val="24"/>
        </w:rPr>
        <w:t xml:space="preserve"> </w:t>
      </w:r>
      <w:r w:rsidR="00DD0B49" w:rsidRPr="003048F2">
        <w:rPr>
          <w:rFonts w:cs="Arial"/>
          <w:szCs w:val="24"/>
        </w:rPr>
        <w:t xml:space="preserve">an </w:t>
      </w:r>
      <w:r w:rsidRPr="003048F2">
        <w:rPr>
          <w:rFonts w:cs="Arial"/>
          <w:szCs w:val="24"/>
        </w:rPr>
        <w:t xml:space="preserve">in principle agreement to the preparation </w:t>
      </w:r>
      <w:r w:rsidR="006C21C6" w:rsidRPr="003048F2">
        <w:rPr>
          <w:rFonts w:cs="Arial"/>
          <w:szCs w:val="24"/>
        </w:rPr>
        <w:t xml:space="preserve">of a JSSP.  </w:t>
      </w:r>
      <w:r w:rsidR="00491207" w:rsidRPr="003048F2">
        <w:rPr>
          <w:rFonts w:cs="Arial"/>
          <w:szCs w:val="24"/>
        </w:rPr>
        <w:t>The JSSP would be prepared under Section 28 of the Planning and Compulsory Purchase Act 2004 which enables 2 or more local planning authorities to agree to prepare a joint Local Plan.  However, formal decision making to commence, submit, and adopt the JSSP would remain with the local planning authorities individually through full Council meetings.</w:t>
      </w:r>
    </w:p>
    <w:p w14:paraId="59AC3BF5" w14:textId="77777777" w:rsidR="003048F2" w:rsidRPr="003048F2" w:rsidRDefault="003048F2" w:rsidP="00F8588E">
      <w:pPr>
        <w:pStyle w:val="ReportPara"/>
        <w:numPr>
          <w:ilvl w:val="0"/>
          <w:numId w:val="0"/>
        </w:numPr>
        <w:tabs>
          <w:tab w:val="num" w:pos="1134"/>
        </w:tabs>
        <w:spacing w:after="0"/>
        <w:ind w:left="630"/>
        <w:jc w:val="both"/>
        <w:rPr>
          <w:rFonts w:cs="Arial"/>
          <w:szCs w:val="24"/>
        </w:rPr>
      </w:pPr>
    </w:p>
    <w:p w14:paraId="3F850B88" w14:textId="77777777" w:rsidR="00B31F4F" w:rsidRDefault="00B31F4F" w:rsidP="00F8588E">
      <w:pPr>
        <w:pStyle w:val="ReportPara"/>
        <w:tabs>
          <w:tab w:val="clear" w:pos="1142"/>
          <w:tab w:val="num" w:pos="630"/>
          <w:tab w:val="num" w:pos="1134"/>
        </w:tabs>
        <w:spacing w:after="0"/>
        <w:ind w:left="630" w:hanging="630"/>
        <w:jc w:val="both"/>
        <w:rPr>
          <w:rFonts w:cs="Arial"/>
          <w:szCs w:val="24"/>
        </w:rPr>
      </w:pPr>
      <w:r w:rsidRPr="003048F2">
        <w:rPr>
          <w:rFonts w:cs="Arial"/>
          <w:szCs w:val="24"/>
        </w:rPr>
        <w:t xml:space="preserve">The Deal will provide up to £2.5 million capacity funding to Oxfordshire Partners to support the development of the JSSP.  </w:t>
      </w:r>
    </w:p>
    <w:p w14:paraId="6E183EF7" w14:textId="77777777" w:rsidR="003048F2" w:rsidRPr="003048F2" w:rsidRDefault="003048F2" w:rsidP="00F8588E">
      <w:pPr>
        <w:pStyle w:val="ReportPara"/>
        <w:numPr>
          <w:ilvl w:val="0"/>
          <w:numId w:val="0"/>
        </w:numPr>
        <w:tabs>
          <w:tab w:val="num" w:pos="1134"/>
        </w:tabs>
        <w:spacing w:after="0"/>
        <w:ind w:left="630"/>
        <w:jc w:val="both"/>
        <w:rPr>
          <w:rFonts w:cs="Arial"/>
          <w:szCs w:val="24"/>
        </w:rPr>
      </w:pPr>
    </w:p>
    <w:p w14:paraId="33346C6A" w14:textId="77777777" w:rsidR="00D66DBC" w:rsidRDefault="00D66DBC" w:rsidP="00F8588E">
      <w:pPr>
        <w:pStyle w:val="ReportPara"/>
        <w:tabs>
          <w:tab w:val="clear" w:pos="1142"/>
          <w:tab w:val="num" w:pos="630"/>
          <w:tab w:val="num" w:pos="1134"/>
        </w:tabs>
        <w:spacing w:after="0"/>
        <w:ind w:left="630" w:hanging="630"/>
        <w:jc w:val="both"/>
        <w:rPr>
          <w:rFonts w:cs="Arial"/>
          <w:szCs w:val="24"/>
        </w:rPr>
      </w:pPr>
      <w:r w:rsidRPr="003048F2">
        <w:rPr>
          <w:rFonts w:cs="Arial"/>
          <w:szCs w:val="24"/>
        </w:rPr>
        <w:t>Key objectives of the JSSP are to provide a countywide strategic vision for sustainable growth, give the public a clear overview of the countywide growth picture and greater opportunities to engage in collective decision-making, and to avoid incremental, speculative and unplanned development.</w:t>
      </w:r>
    </w:p>
    <w:p w14:paraId="7D2FDA86" w14:textId="77777777" w:rsidR="003048F2" w:rsidRPr="003048F2" w:rsidRDefault="003048F2" w:rsidP="003048F2">
      <w:pPr>
        <w:pStyle w:val="ReportPara"/>
        <w:numPr>
          <w:ilvl w:val="0"/>
          <w:numId w:val="0"/>
        </w:numPr>
        <w:tabs>
          <w:tab w:val="num" w:pos="1134"/>
        </w:tabs>
        <w:spacing w:after="0"/>
        <w:jc w:val="both"/>
        <w:rPr>
          <w:rFonts w:cs="Arial"/>
          <w:szCs w:val="24"/>
        </w:rPr>
      </w:pPr>
    </w:p>
    <w:p w14:paraId="2FDF337A" w14:textId="2374E59D" w:rsidR="00D66DBC" w:rsidRPr="00356D22" w:rsidRDefault="00D66DBC" w:rsidP="00F8588E">
      <w:pPr>
        <w:pStyle w:val="ReportPara"/>
        <w:tabs>
          <w:tab w:val="clear" w:pos="1142"/>
          <w:tab w:val="num" w:pos="630"/>
          <w:tab w:val="num" w:pos="1134"/>
        </w:tabs>
        <w:spacing w:after="0"/>
        <w:ind w:left="630" w:hanging="630"/>
        <w:jc w:val="both"/>
        <w:rPr>
          <w:rFonts w:cs="Arial"/>
          <w:szCs w:val="24"/>
        </w:rPr>
      </w:pPr>
      <w:r w:rsidRPr="00356D22">
        <w:rPr>
          <w:rFonts w:cs="Arial"/>
          <w:szCs w:val="24"/>
        </w:rPr>
        <w:t xml:space="preserve">Through the </w:t>
      </w:r>
      <w:r w:rsidR="00081F66">
        <w:rPr>
          <w:rFonts w:cs="Arial"/>
          <w:szCs w:val="24"/>
        </w:rPr>
        <w:t>D</w:t>
      </w:r>
      <w:r w:rsidRPr="00356D22">
        <w:rPr>
          <w:rFonts w:cs="Arial"/>
          <w:szCs w:val="24"/>
        </w:rPr>
        <w:t xml:space="preserve">eal, </w:t>
      </w:r>
      <w:r w:rsidR="00081F66">
        <w:rPr>
          <w:rFonts w:cs="Arial"/>
          <w:szCs w:val="24"/>
        </w:rPr>
        <w:t>G</w:t>
      </w:r>
      <w:r w:rsidRPr="00356D22">
        <w:rPr>
          <w:rFonts w:cs="Arial"/>
          <w:szCs w:val="24"/>
        </w:rPr>
        <w:t xml:space="preserve">overnment </w:t>
      </w:r>
      <w:r w:rsidR="00B31F4F" w:rsidRPr="00F207E3">
        <w:rPr>
          <w:rFonts w:cs="Arial"/>
          <w:szCs w:val="24"/>
        </w:rPr>
        <w:t>will</w:t>
      </w:r>
      <w:r w:rsidRPr="00F207E3">
        <w:rPr>
          <w:rFonts w:cs="Arial"/>
          <w:szCs w:val="24"/>
        </w:rPr>
        <w:t xml:space="preserve"> grant planning flexibilities on a time limited basis to </w:t>
      </w:r>
      <w:r w:rsidR="00C50F87" w:rsidRPr="003D32FA">
        <w:rPr>
          <w:rFonts w:cs="Arial"/>
          <w:szCs w:val="24"/>
        </w:rPr>
        <w:t>address the impact in</w:t>
      </w:r>
      <w:r w:rsidRPr="003D32FA">
        <w:rPr>
          <w:rFonts w:cs="Arial"/>
          <w:szCs w:val="24"/>
        </w:rPr>
        <w:t xml:space="preserve"> Oxfordshire </w:t>
      </w:r>
      <w:r w:rsidR="00C50F87" w:rsidRPr="003D32FA">
        <w:rPr>
          <w:rFonts w:cs="Arial"/>
          <w:szCs w:val="24"/>
        </w:rPr>
        <w:t>of</w:t>
      </w:r>
      <w:r w:rsidRPr="003D32FA">
        <w:rPr>
          <w:rFonts w:cs="Arial"/>
          <w:szCs w:val="24"/>
        </w:rPr>
        <w:t xml:space="preserve"> unplanned development</w:t>
      </w:r>
      <w:r w:rsidR="00C50F87" w:rsidRPr="003D32FA">
        <w:rPr>
          <w:rFonts w:cs="Arial"/>
          <w:szCs w:val="24"/>
        </w:rPr>
        <w:t xml:space="preserve"> </w:t>
      </w:r>
      <w:r w:rsidRPr="003D32FA">
        <w:rPr>
          <w:rFonts w:cs="Arial"/>
          <w:szCs w:val="24"/>
        </w:rPr>
        <w:t xml:space="preserve">during </w:t>
      </w:r>
      <w:r w:rsidR="00C50F87" w:rsidRPr="003D32FA">
        <w:rPr>
          <w:rFonts w:cs="Arial"/>
          <w:szCs w:val="24"/>
        </w:rPr>
        <w:t>the preparation of the J</w:t>
      </w:r>
      <w:r w:rsidRPr="00356D22">
        <w:rPr>
          <w:rFonts w:cs="Arial"/>
          <w:szCs w:val="24"/>
        </w:rPr>
        <w:t xml:space="preserve">SSP.  </w:t>
      </w:r>
      <w:r w:rsidR="00356D22" w:rsidRPr="00356D22">
        <w:rPr>
          <w:rFonts w:cs="Arial"/>
          <w:szCs w:val="24"/>
        </w:rPr>
        <w:t>The Deal</w:t>
      </w:r>
      <w:r w:rsidRPr="00356D22">
        <w:rPr>
          <w:rFonts w:cs="Arial"/>
          <w:szCs w:val="24"/>
        </w:rPr>
        <w:t xml:space="preserve"> also commits government to working with Oxfordshire from early 2018 on longer-term solutions to make sure sites are built out. This places us in a good position to influence the national review to be conducted by Government into the mismatch between planning permissions granted and housing starts</w:t>
      </w:r>
      <w:r w:rsidR="00C50F87" w:rsidRPr="00356D22">
        <w:rPr>
          <w:rFonts w:cs="Arial"/>
          <w:szCs w:val="24"/>
        </w:rPr>
        <w:t>.</w:t>
      </w:r>
    </w:p>
    <w:p w14:paraId="4EBA5837" w14:textId="77777777" w:rsidR="00F8588E" w:rsidRPr="003048F2" w:rsidRDefault="00F8588E" w:rsidP="00F8588E">
      <w:pPr>
        <w:pStyle w:val="ReportPara"/>
        <w:numPr>
          <w:ilvl w:val="0"/>
          <w:numId w:val="0"/>
        </w:numPr>
        <w:tabs>
          <w:tab w:val="num" w:pos="1134"/>
        </w:tabs>
        <w:spacing w:after="0"/>
        <w:jc w:val="both"/>
        <w:rPr>
          <w:rFonts w:cs="Arial"/>
          <w:szCs w:val="24"/>
        </w:rPr>
      </w:pPr>
    </w:p>
    <w:p w14:paraId="7ED8ECA2" w14:textId="77777777" w:rsidR="00124AE4" w:rsidRPr="00B144B0" w:rsidRDefault="00124AE4" w:rsidP="00F8588E">
      <w:pPr>
        <w:pStyle w:val="ReportPara"/>
        <w:tabs>
          <w:tab w:val="num" w:pos="630"/>
        </w:tabs>
        <w:spacing w:after="0"/>
        <w:ind w:left="630" w:hanging="630"/>
        <w:jc w:val="both"/>
        <w:rPr>
          <w:rFonts w:cs="Arial"/>
          <w:szCs w:val="24"/>
        </w:rPr>
      </w:pPr>
      <w:r w:rsidRPr="00B144B0">
        <w:rPr>
          <w:rFonts w:cs="Arial"/>
          <w:szCs w:val="24"/>
        </w:rPr>
        <w:t>The planning flexibilities offered are:</w:t>
      </w:r>
    </w:p>
    <w:p w14:paraId="62FB097F" w14:textId="77777777" w:rsidR="00124AE4" w:rsidRPr="00B144B0" w:rsidRDefault="00124AE4" w:rsidP="00F8588E">
      <w:pPr>
        <w:tabs>
          <w:tab w:val="num" w:pos="1134"/>
        </w:tabs>
        <w:ind w:left="630"/>
        <w:jc w:val="both"/>
        <w:rPr>
          <w:rFonts w:cs="Arial"/>
          <w:szCs w:val="24"/>
        </w:rPr>
      </w:pPr>
    </w:p>
    <w:p w14:paraId="4B8340DD" w14:textId="77777777" w:rsidR="00B144B0" w:rsidRPr="00B144B0" w:rsidRDefault="00B144B0" w:rsidP="00F8588E">
      <w:pPr>
        <w:pStyle w:val="NoSpacing"/>
        <w:numPr>
          <w:ilvl w:val="0"/>
          <w:numId w:val="13"/>
        </w:numPr>
        <w:ind w:left="993"/>
        <w:jc w:val="both"/>
        <w:rPr>
          <w:color w:val="000000" w:themeColor="text1"/>
        </w:rPr>
      </w:pPr>
      <w:r w:rsidRPr="00B144B0">
        <w:t>Land Supply requirements - for the duration of the development (from commencement of s 28 process to adoption) of the JSSP a 3-year land supply will be applied in Oxfordshire</w:t>
      </w:r>
    </w:p>
    <w:p w14:paraId="7747BB55" w14:textId="77777777" w:rsidR="00124AE4" w:rsidRPr="00B144B0" w:rsidRDefault="00124AE4" w:rsidP="00F8588E">
      <w:pPr>
        <w:ind w:left="968" w:hanging="142"/>
        <w:contextualSpacing/>
        <w:rPr>
          <w:rFonts w:eastAsiaTheme="minorHAnsi" w:cs="Arial"/>
          <w:szCs w:val="24"/>
          <w:lang w:eastAsia="en-US"/>
        </w:rPr>
      </w:pPr>
    </w:p>
    <w:p w14:paraId="79540D1B" w14:textId="77777777" w:rsidR="009C0D15" w:rsidRPr="009C0D15" w:rsidRDefault="009C0D15" w:rsidP="00F8588E">
      <w:pPr>
        <w:pStyle w:val="ListParagraph"/>
        <w:numPr>
          <w:ilvl w:val="1"/>
          <w:numId w:val="12"/>
        </w:numPr>
        <w:ind w:left="990"/>
        <w:rPr>
          <w:rFonts w:cs="Arial"/>
          <w:iCs/>
          <w:szCs w:val="24"/>
        </w:rPr>
      </w:pPr>
      <w:r w:rsidRPr="009C0D15">
        <w:rPr>
          <w:rFonts w:cs="Arial"/>
          <w:iCs/>
          <w:szCs w:val="24"/>
        </w:rPr>
        <w:t>Bespoke Housing Delivery Test measures for Oxfordshire will apply for 3 years following submission of the JSSP.  The rates for November 2018 and November 2019, which are 25% and 45%, and which trigger the presumption in favour of sustainable development would remain as set nationally, but the figure from November 2020 would be a bespoke Oxfordshire figure subject to the submission of the JSSP by March 2020.</w:t>
      </w:r>
    </w:p>
    <w:p w14:paraId="63911923" w14:textId="77777777" w:rsidR="00124AE4" w:rsidRPr="00B144B0" w:rsidRDefault="00124AE4" w:rsidP="00F8588E">
      <w:pPr>
        <w:ind w:left="968" w:hanging="142"/>
        <w:contextualSpacing/>
        <w:rPr>
          <w:rFonts w:eastAsiaTheme="minorHAnsi" w:cs="Arial"/>
          <w:szCs w:val="24"/>
          <w:lang w:eastAsia="en-US"/>
        </w:rPr>
      </w:pPr>
    </w:p>
    <w:p w14:paraId="6675E547" w14:textId="77777777" w:rsidR="00CC28C6" w:rsidRPr="00ED33F6" w:rsidRDefault="00CC28C6" w:rsidP="00F8588E">
      <w:pPr>
        <w:pStyle w:val="ListParagraph"/>
        <w:numPr>
          <w:ilvl w:val="0"/>
          <w:numId w:val="11"/>
        </w:numPr>
        <w:spacing w:after="160" w:line="259" w:lineRule="auto"/>
        <w:ind w:left="968"/>
        <w:contextualSpacing/>
        <w:rPr>
          <w:rFonts w:cs="Arial"/>
          <w:color w:val="000000"/>
          <w:szCs w:val="24"/>
        </w:rPr>
      </w:pPr>
      <w:r w:rsidRPr="00ED33F6">
        <w:rPr>
          <w:rFonts w:cs="Arial"/>
          <w:color w:val="000000"/>
          <w:szCs w:val="24"/>
        </w:rPr>
        <w:t>MHCLG support the completion of the current suite of Oxfordshire Local Plans and recognise this is required to enable Oxfordshire to meet the Deal commitment of submitting Local Plans by 1</w:t>
      </w:r>
      <w:r w:rsidRPr="00ED33F6">
        <w:rPr>
          <w:rFonts w:cs="Arial"/>
          <w:color w:val="000000"/>
          <w:szCs w:val="24"/>
          <w:vertAlign w:val="superscript"/>
        </w:rPr>
        <w:t>st</w:t>
      </w:r>
      <w:r w:rsidRPr="00ED33F6">
        <w:rPr>
          <w:rFonts w:cs="Arial"/>
          <w:color w:val="000000"/>
          <w:szCs w:val="24"/>
        </w:rPr>
        <w:t xml:space="preserve"> April 2019.  Their intention (as set out in the recent white paper) is to amend planning guidance so that where a plan is based on an assessment of local housing need in excess of that which the standard method would provide, then the working assumption is that the approach adopted would be sound unless there are compelling reasons to indicate otherwise. As the assessments of housing need in Oxfordshire Local Plans based on the 2014 Strategic Housing Market Assessment are higher than the Local Housing Need figures, they could be used, subject to an appropriate update, as a basis for any local plans that will be submitted for examination, prior to the adoption of the JSSP.  The existing arrangements which allow Local Plans to set housing requirements at a lower figure based on capacity or policy constraints will continue to operate.</w:t>
      </w:r>
    </w:p>
    <w:p w14:paraId="4533FE55" w14:textId="77777777" w:rsidR="00173EC1" w:rsidRDefault="00173EC1" w:rsidP="00F8588E">
      <w:pPr>
        <w:pStyle w:val="ListParagraph"/>
        <w:ind w:left="270"/>
        <w:rPr>
          <w:rFonts w:cs="Arial"/>
          <w:szCs w:val="24"/>
        </w:rPr>
      </w:pPr>
    </w:p>
    <w:p w14:paraId="5893D5C1" w14:textId="4114B5FA" w:rsidR="00B144B0" w:rsidRPr="00B144B0" w:rsidRDefault="00173EC1" w:rsidP="00F8588E">
      <w:pPr>
        <w:pStyle w:val="NoSpacing"/>
        <w:ind w:left="567" w:hanging="567"/>
      </w:pPr>
      <w:r>
        <w:t xml:space="preserve">3.25 </w:t>
      </w:r>
      <w:r w:rsidR="0062633F">
        <w:tab/>
      </w:r>
      <w:r w:rsidR="00B144B0" w:rsidRPr="00B144B0">
        <w:t xml:space="preserve">Application of these arrangements within national planning guidance will require changes through a formal process to secure the flexibilities set out above. MHCLG officials will make the necessary arrangements for this by July 2018. </w:t>
      </w:r>
    </w:p>
    <w:p w14:paraId="513EF65A" w14:textId="59ACB805" w:rsidR="001042B8" w:rsidRPr="00B144B0" w:rsidRDefault="001042B8" w:rsidP="00F8588E">
      <w:pPr>
        <w:pStyle w:val="ListParagraph"/>
        <w:ind w:left="371"/>
        <w:jc w:val="both"/>
        <w:rPr>
          <w:rFonts w:cs="Arial"/>
          <w:color w:val="000000" w:themeColor="text1"/>
          <w:szCs w:val="24"/>
        </w:rPr>
      </w:pPr>
    </w:p>
    <w:p w14:paraId="526C6251" w14:textId="52960F09" w:rsidR="00F207E3" w:rsidRPr="00173EC1" w:rsidRDefault="00173EC1" w:rsidP="00F8588E">
      <w:pPr>
        <w:pStyle w:val="ReportPara"/>
        <w:numPr>
          <w:ilvl w:val="0"/>
          <w:numId w:val="0"/>
        </w:numPr>
        <w:ind w:left="567" w:hanging="567"/>
        <w:rPr>
          <w:rFonts w:eastAsiaTheme="minorHAnsi" w:cs="Arial"/>
          <w:szCs w:val="24"/>
          <w:lang w:eastAsia="en-US"/>
        </w:rPr>
      </w:pPr>
      <w:r>
        <w:rPr>
          <w:rFonts w:cs="Arial"/>
        </w:rPr>
        <w:t xml:space="preserve">3.26 </w:t>
      </w:r>
      <w:r w:rsidR="0062633F">
        <w:rPr>
          <w:rFonts w:cs="Arial"/>
        </w:rPr>
        <w:tab/>
      </w:r>
      <w:r w:rsidR="001042B8" w:rsidRPr="00173EC1">
        <w:rPr>
          <w:rFonts w:cs="Arial"/>
        </w:rPr>
        <w:t xml:space="preserve">The milestones attached to the work on the JSSP are contingent on securing the planning flexibilities outlined above and Government will seek to have these in place by the July JSSP milestone of creating a JSSP </w:t>
      </w:r>
      <w:r w:rsidR="00081F66">
        <w:rPr>
          <w:rFonts w:cs="Arial"/>
        </w:rPr>
        <w:t>P</w:t>
      </w:r>
      <w:r w:rsidR="001042B8" w:rsidRPr="00173EC1">
        <w:rPr>
          <w:rFonts w:cs="Arial"/>
        </w:rPr>
        <w:t xml:space="preserve">roject Board to begin the s28 process. Oxfordshire will review the availability of necessary planning freedoms and flexibilities, at its July Growth Board meeting. </w:t>
      </w:r>
    </w:p>
    <w:p w14:paraId="0332FC1B" w14:textId="61CBB697" w:rsidR="00790ED6" w:rsidRPr="003048F2" w:rsidRDefault="00173EC1" w:rsidP="00F8588E">
      <w:pPr>
        <w:pStyle w:val="ReportPara"/>
        <w:numPr>
          <w:ilvl w:val="0"/>
          <w:numId w:val="0"/>
        </w:numPr>
        <w:ind w:left="567" w:hanging="566"/>
      </w:pPr>
      <w:r w:rsidRPr="00173EC1">
        <w:rPr>
          <w:rFonts w:cs="Arial"/>
        </w:rPr>
        <w:t>3.27</w:t>
      </w:r>
      <w:r>
        <w:rPr>
          <w:rFonts w:cs="Arial"/>
        </w:rPr>
        <w:t xml:space="preserve"> </w:t>
      </w:r>
      <w:r w:rsidR="0062633F">
        <w:rPr>
          <w:rFonts w:cs="Arial"/>
        </w:rPr>
        <w:tab/>
      </w:r>
      <w:r w:rsidR="008307EE" w:rsidRPr="00173EC1">
        <w:rPr>
          <w:rFonts w:cs="Arial"/>
        </w:rPr>
        <w:t>It</w:t>
      </w:r>
      <w:r w:rsidR="008307EE" w:rsidRPr="00BF06CC">
        <w:rPr>
          <w:rFonts w:cs="Arial"/>
        </w:rPr>
        <w:t xml:space="preserve"> should be noted that in the absence of the </w:t>
      </w:r>
      <w:r w:rsidR="00081F66">
        <w:rPr>
          <w:rFonts w:cs="Arial"/>
        </w:rPr>
        <w:t>D</w:t>
      </w:r>
      <w:r w:rsidR="008307EE" w:rsidRPr="00BF06CC">
        <w:rPr>
          <w:rFonts w:cs="Arial"/>
        </w:rPr>
        <w:t>eal, the national 5 year Land Supply requirement and the</w:t>
      </w:r>
      <w:r w:rsidR="001042B8" w:rsidRPr="00BF06CC">
        <w:rPr>
          <w:rFonts w:cs="Arial"/>
        </w:rPr>
        <w:t xml:space="preserve"> proposed</w:t>
      </w:r>
      <w:r w:rsidR="008307EE" w:rsidRPr="00BF06CC">
        <w:rPr>
          <w:rFonts w:cs="Arial"/>
        </w:rPr>
        <w:t xml:space="preserve"> nationally set delivery test which will reach 75% by 2020 will apply to all areas of Oxfordshire.</w:t>
      </w:r>
    </w:p>
    <w:p w14:paraId="2AC0262F" w14:textId="77777777" w:rsidR="0062633F" w:rsidRPr="003048F2" w:rsidRDefault="0062633F" w:rsidP="00F8588E"/>
    <w:p w14:paraId="17394598" w14:textId="77777777" w:rsidR="00D66DBC" w:rsidRDefault="00D66DBC" w:rsidP="00F8588E">
      <w:pPr>
        <w:pStyle w:val="ReportPara"/>
        <w:numPr>
          <w:ilvl w:val="0"/>
          <w:numId w:val="0"/>
        </w:numPr>
        <w:spacing w:after="0"/>
        <w:jc w:val="both"/>
        <w:rPr>
          <w:rFonts w:cs="Arial"/>
          <w:b/>
          <w:szCs w:val="24"/>
        </w:rPr>
      </w:pPr>
      <w:r w:rsidRPr="003048F2">
        <w:rPr>
          <w:rFonts w:cs="Arial"/>
          <w:b/>
          <w:szCs w:val="24"/>
        </w:rPr>
        <w:t xml:space="preserve">Productivity </w:t>
      </w:r>
    </w:p>
    <w:p w14:paraId="0B2F94EA" w14:textId="77777777" w:rsidR="003048F2" w:rsidRPr="003048F2" w:rsidRDefault="003048F2" w:rsidP="003048F2">
      <w:pPr>
        <w:pStyle w:val="ReportPara"/>
        <w:numPr>
          <w:ilvl w:val="0"/>
          <w:numId w:val="0"/>
        </w:numPr>
        <w:spacing w:after="0"/>
        <w:ind w:left="426"/>
        <w:jc w:val="both"/>
        <w:rPr>
          <w:rFonts w:cs="Arial"/>
          <w:b/>
          <w:szCs w:val="24"/>
        </w:rPr>
      </w:pPr>
    </w:p>
    <w:p w14:paraId="3B708D6E" w14:textId="11AAD233" w:rsidR="00D66DBC" w:rsidRPr="00173EC1" w:rsidRDefault="00D66DBC" w:rsidP="00F8588E">
      <w:pPr>
        <w:pStyle w:val="ReportPara"/>
        <w:numPr>
          <w:ilvl w:val="1"/>
          <w:numId w:val="7"/>
        </w:numPr>
        <w:ind w:left="567" w:hanging="567"/>
        <w:rPr>
          <w:rFonts w:cs="Arial"/>
        </w:rPr>
      </w:pPr>
      <w:r w:rsidRPr="00173EC1">
        <w:rPr>
          <w:rFonts w:cs="Arial"/>
        </w:rPr>
        <w:t xml:space="preserve">The Government recognises the importance of Oxfordshire’s knowledge intensive economy for UK </w:t>
      </w:r>
      <w:proofErr w:type="gramStart"/>
      <w:r w:rsidRPr="00173EC1">
        <w:rPr>
          <w:rFonts w:cs="Arial"/>
        </w:rPr>
        <w:t>plc</w:t>
      </w:r>
      <w:r w:rsidR="00F8588E">
        <w:rPr>
          <w:rFonts w:cs="Arial"/>
        </w:rPr>
        <w:t xml:space="preserve"> </w:t>
      </w:r>
      <w:r w:rsidRPr="00173EC1">
        <w:rPr>
          <w:rFonts w:cs="Arial"/>
        </w:rPr>
        <w:t xml:space="preserve"> with</w:t>
      </w:r>
      <w:proofErr w:type="gramEnd"/>
      <w:r w:rsidRPr="00173EC1">
        <w:rPr>
          <w:rFonts w:cs="Arial"/>
        </w:rPr>
        <w:t xml:space="preserve"> two universities and world-class research institutions. The county delivers £21 billion a year to </w:t>
      </w:r>
      <w:r w:rsidR="0073719F" w:rsidRPr="00173EC1">
        <w:rPr>
          <w:rFonts w:cs="Arial"/>
        </w:rPr>
        <w:t>the nation’s economic</w:t>
      </w:r>
      <w:r w:rsidRPr="00173EC1">
        <w:rPr>
          <w:rFonts w:cs="Arial"/>
        </w:rPr>
        <w:t xml:space="preserve"> output. </w:t>
      </w:r>
    </w:p>
    <w:p w14:paraId="67EE862E" w14:textId="77777777" w:rsidR="003048F2" w:rsidRPr="003048F2" w:rsidRDefault="003048F2" w:rsidP="00F8588E">
      <w:pPr>
        <w:pStyle w:val="ReportPara"/>
        <w:numPr>
          <w:ilvl w:val="0"/>
          <w:numId w:val="0"/>
        </w:numPr>
        <w:spacing w:after="0"/>
        <w:ind w:left="433"/>
        <w:jc w:val="both"/>
        <w:rPr>
          <w:rFonts w:cs="Arial"/>
          <w:szCs w:val="24"/>
        </w:rPr>
      </w:pPr>
    </w:p>
    <w:p w14:paraId="449E8F04" w14:textId="125590AC" w:rsidR="00D66DBC" w:rsidRDefault="00D66DBC" w:rsidP="00F8588E">
      <w:pPr>
        <w:pStyle w:val="ReportPara"/>
        <w:numPr>
          <w:ilvl w:val="1"/>
          <w:numId w:val="7"/>
        </w:numPr>
        <w:spacing w:after="0"/>
        <w:ind w:left="567" w:hanging="567"/>
        <w:jc w:val="both"/>
        <w:rPr>
          <w:rFonts w:cs="Arial"/>
          <w:szCs w:val="24"/>
        </w:rPr>
      </w:pPr>
      <w:r w:rsidRPr="003048F2">
        <w:rPr>
          <w:rFonts w:cs="Arial"/>
          <w:szCs w:val="24"/>
        </w:rPr>
        <w:t>The Deal commits Government support to expand employment sites across the county, such as Science Vale – one of the most successful science and technology clusters in the UK. In total the Government is putting an additional £2.3bn in R&amp;D investment. It will also bring new resources to address specific skills gaps.</w:t>
      </w:r>
    </w:p>
    <w:p w14:paraId="11E17368" w14:textId="77777777" w:rsidR="003048F2" w:rsidRPr="003048F2" w:rsidRDefault="003048F2" w:rsidP="00F8588E">
      <w:pPr>
        <w:pStyle w:val="ReportPara"/>
        <w:numPr>
          <w:ilvl w:val="0"/>
          <w:numId w:val="0"/>
        </w:numPr>
        <w:tabs>
          <w:tab w:val="num" w:pos="1134"/>
        </w:tabs>
        <w:spacing w:after="0"/>
        <w:ind w:left="371"/>
        <w:jc w:val="both"/>
        <w:rPr>
          <w:rFonts w:cs="Arial"/>
          <w:szCs w:val="24"/>
        </w:rPr>
      </w:pPr>
    </w:p>
    <w:p w14:paraId="1115264A" w14:textId="2DA49A92" w:rsidR="00D66DBC" w:rsidRDefault="00D66DBC" w:rsidP="00F8588E">
      <w:pPr>
        <w:pStyle w:val="ReportPara"/>
        <w:numPr>
          <w:ilvl w:val="1"/>
          <w:numId w:val="7"/>
        </w:numPr>
        <w:spacing w:after="0"/>
        <w:ind w:left="567" w:hanging="567"/>
        <w:jc w:val="both"/>
        <w:rPr>
          <w:rFonts w:cs="Arial"/>
          <w:szCs w:val="24"/>
        </w:rPr>
      </w:pPr>
      <w:r w:rsidRPr="003048F2">
        <w:rPr>
          <w:rFonts w:cs="Arial"/>
          <w:szCs w:val="24"/>
        </w:rPr>
        <w:t xml:space="preserve">Government has also promised opportunities </w:t>
      </w:r>
      <w:r w:rsidR="00F207E3">
        <w:rPr>
          <w:rFonts w:cs="Arial"/>
          <w:szCs w:val="24"/>
        </w:rPr>
        <w:t xml:space="preserve">for Oxfordshire </w:t>
      </w:r>
      <w:r w:rsidRPr="003048F2">
        <w:rPr>
          <w:rFonts w:cs="Arial"/>
          <w:szCs w:val="24"/>
        </w:rPr>
        <w:t>to</w:t>
      </w:r>
      <w:r w:rsidR="00F207E3">
        <w:rPr>
          <w:rFonts w:cs="Arial"/>
          <w:szCs w:val="24"/>
        </w:rPr>
        <w:t xml:space="preserve"> be involved in</w:t>
      </w:r>
      <w:r w:rsidRPr="003048F2">
        <w:rPr>
          <w:rFonts w:cs="Arial"/>
          <w:szCs w:val="24"/>
        </w:rPr>
        <w:t xml:space="preserve"> develop</w:t>
      </w:r>
      <w:r w:rsidR="00F207E3">
        <w:rPr>
          <w:rFonts w:cs="Arial"/>
          <w:szCs w:val="24"/>
        </w:rPr>
        <w:t>ing</w:t>
      </w:r>
      <w:r w:rsidRPr="003048F2">
        <w:rPr>
          <w:rFonts w:cs="Arial"/>
          <w:szCs w:val="24"/>
        </w:rPr>
        <w:t xml:space="preserve"> sector deals with life sciences and artificial intelligence sectors</w:t>
      </w:r>
      <w:r w:rsidR="00F207E3">
        <w:rPr>
          <w:rFonts w:cs="Arial"/>
          <w:szCs w:val="24"/>
        </w:rPr>
        <w:t xml:space="preserve">, reflecting </w:t>
      </w:r>
      <w:r w:rsidRPr="003048F2">
        <w:rPr>
          <w:rFonts w:cs="Arial"/>
          <w:szCs w:val="24"/>
        </w:rPr>
        <w:t>Oxfordshire</w:t>
      </w:r>
      <w:r w:rsidR="00F207E3">
        <w:rPr>
          <w:rFonts w:cs="Arial"/>
          <w:szCs w:val="24"/>
        </w:rPr>
        <w:t>’s</w:t>
      </w:r>
      <w:r w:rsidRPr="003048F2">
        <w:rPr>
          <w:rFonts w:cs="Arial"/>
          <w:szCs w:val="24"/>
        </w:rPr>
        <w:t xml:space="preserve"> leading edge research and development</w:t>
      </w:r>
      <w:r w:rsidR="00F207E3">
        <w:rPr>
          <w:rFonts w:cs="Arial"/>
          <w:szCs w:val="24"/>
        </w:rPr>
        <w:t xml:space="preserve"> in these sectors</w:t>
      </w:r>
      <w:r w:rsidRPr="003048F2">
        <w:rPr>
          <w:rFonts w:cs="Arial"/>
          <w:szCs w:val="24"/>
        </w:rPr>
        <w:t xml:space="preserve">. This is additional to the recent £6.9m investment in driverless vehicle testing divided between </w:t>
      </w:r>
      <w:proofErr w:type="spellStart"/>
      <w:r w:rsidRPr="003048F2">
        <w:rPr>
          <w:rFonts w:cs="Arial"/>
          <w:szCs w:val="24"/>
        </w:rPr>
        <w:t>Culham</w:t>
      </w:r>
      <w:proofErr w:type="spellEnd"/>
      <w:r w:rsidRPr="003048F2">
        <w:rPr>
          <w:rFonts w:cs="Arial"/>
          <w:szCs w:val="24"/>
        </w:rPr>
        <w:t xml:space="preserve"> and Mil</w:t>
      </w:r>
      <w:r w:rsidR="001E2843">
        <w:rPr>
          <w:rFonts w:cs="Arial"/>
          <w:szCs w:val="24"/>
        </w:rPr>
        <w:t>l</w:t>
      </w:r>
      <w:r w:rsidRPr="003048F2">
        <w:rPr>
          <w:rFonts w:cs="Arial"/>
          <w:szCs w:val="24"/>
        </w:rPr>
        <w:t xml:space="preserve">brook in Bedfordshire. </w:t>
      </w:r>
    </w:p>
    <w:p w14:paraId="736A9FA0" w14:textId="77777777" w:rsidR="003048F2" w:rsidRPr="003048F2" w:rsidRDefault="003048F2" w:rsidP="00F8588E">
      <w:pPr>
        <w:pStyle w:val="ReportPara"/>
        <w:numPr>
          <w:ilvl w:val="0"/>
          <w:numId w:val="0"/>
        </w:numPr>
        <w:tabs>
          <w:tab w:val="num" w:pos="1134"/>
        </w:tabs>
        <w:spacing w:after="0"/>
        <w:jc w:val="both"/>
        <w:rPr>
          <w:rFonts w:cs="Arial"/>
          <w:szCs w:val="24"/>
        </w:rPr>
      </w:pPr>
    </w:p>
    <w:p w14:paraId="5C7AA68C" w14:textId="77777777" w:rsidR="00D66DBC" w:rsidRDefault="00D66DBC" w:rsidP="00F8588E">
      <w:pPr>
        <w:pStyle w:val="ReportPara"/>
        <w:numPr>
          <w:ilvl w:val="1"/>
          <w:numId w:val="7"/>
        </w:numPr>
        <w:spacing w:after="0"/>
        <w:ind w:left="567" w:hanging="567"/>
        <w:jc w:val="both"/>
        <w:rPr>
          <w:rFonts w:cs="Arial"/>
          <w:szCs w:val="24"/>
        </w:rPr>
      </w:pPr>
      <w:r w:rsidRPr="003048F2">
        <w:rPr>
          <w:rFonts w:cs="Arial"/>
          <w:szCs w:val="24"/>
        </w:rPr>
        <w:t>Finally, the Deal has extended core funding for the Oxfordshire Growth Hub up to 2022. This provides support to help scale up high-growth companies.</w:t>
      </w:r>
    </w:p>
    <w:p w14:paraId="68543893" w14:textId="77777777" w:rsidR="003048F2" w:rsidRPr="003048F2" w:rsidRDefault="003048F2" w:rsidP="003048F2">
      <w:pPr>
        <w:pStyle w:val="ReportPara"/>
        <w:numPr>
          <w:ilvl w:val="0"/>
          <w:numId w:val="0"/>
        </w:numPr>
        <w:tabs>
          <w:tab w:val="num" w:pos="1134"/>
        </w:tabs>
        <w:spacing w:after="0"/>
        <w:ind w:left="1080"/>
        <w:jc w:val="both"/>
        <w:rPr>
          <w:rFonts w:cs="Arial"/>
          <w:szCs w:val="24"/>
        </w:rPr>
      </w:pPr>
    </w:p>
    <w:p w14:paraId="020B58F1" w14:textId="77777777" w:rsidR="001956BF" w:rsidRDefault="003048F2" w:rsidP="00F8588E">
      <w:pPr>
        <w:pStyle w:val="ReportPara"/>
        <w:numPr>
          <w:ilvl w:val="0"/>
          <w:numId w:val="0"/>
        </w:numPr>
        <w:spacing w:after="0"/>
        <w:jc w:val="both"/>
        <w:rPr>
          <w:rFonts w:cs="Arial"/>
          <w:b/>
          <w:szCs w:val="24"/>
        </w:rPr>
      </w:pPr>
      <w:r>
        <w:rPr>
          <w:rFonts w:cs="Arial"/>
          <w:b/>
          <w:szCs w:val="24"/>
        </w:rPr>
        <w:t>Delivery Plan</w:t>
      </w:r>
    </w:p>
    <w:p w14:paraId="085FBA7F" w14:textId="77777777" w:rsidR="003048F2" w:rsidRPr="003048F2" w:rsidRDefault="003048F2" w:rsidP="003048F2">
      <w:pPr>
        <w:pStyle w:val="ReportPara"/>
        <w:numPr>
          <w:ilvl w:val="0"/>
          <w:numId w:val="0"/>
        </w:numPr>
        <w:spacing w:after="0"/>
        <w:ind w:left="426"/>
        <w:jc w:val="both"/>
        <w:rPr>
          <w:rFonts w:cs="Arial"/>
          <w:b/>
          <w:szCs w:val="24"/>
        </w:rPr>
      </w:pPr>
    </w:p>
    <w:p w14:paraId="5B823C4E" w14:textId="5C9930B7" w:rsidR="000379EA" w:rsidRDefault="00755937" w:rsidP="00F8588E">
      <w:pPr>
        <w:pStyle w:val="ReportPara"/>
        <w:numPr>
          <w:ilvl w:val="1"/>
          <w:numId w:val="7"/>
        </w:numPr>
        <w:spacing w:after="0"/>
        <w:ind w:left="567" w:hanging="567"/>
        <w:jc w:val="both"/>
        <w:rPr>
          <w:rFonts w:cs="Arial"/>
          <w:szCs w:val="24"/>
        </w:rPr>
      </w:pPr>
      <w:r w:rsidRPr="003048F2">
        <w:rPr>
          <w:rFonts w:cs="Arial"/>
          <w:szCs w:val="24"/>
        </w:rPr>
        <w:t xml:space="preserve">The outline agreement makes it clear that full agreement of the </w:t>
      </w:r>
      <w:r w:rsidR="005D2D6A">
        <w:rPr>
          <w:rFonts w:cs="Arial"/>
          <w:szCs w:val="24"/>
        </w:rPr>
        <w:t>D</w:t>
      </w:r>
      <w:r w:rsidRPr="003048F2">
        <w:rPr>
          <w:rFonts w:cs="Arial"/>
          <w:szCs w:val="24"/>
        </w:rPr>
        <w:t xml:space="preserve">eal is subject to agreement by each local authority and the LEP board.  The </w:t>
      </w:r>
      <w:r w:rsidR="005D2D6A">
        <w:rPr>
          <w:rFonts w:cs="Arial"/>
          <w:szCs w:val="24"/>
        </w:rPr>
        <w:t>D</w:t>
      </w:r>
      <w:r w:rsidRPr="003048F2">
        <w:rPr>
          <w:rFonts w:cs="Arial"/>
          <w:szCs w:val="24"/>
        </w:rPr>
        <w:t xml:space="preserve">eal also requires a </w:t>
      </w:r>
      <w:r w:rsidR="005D2D6A">
        <w:rPr>
          <w:rFonts w:cs="Arial"/>
          <w:szCs w:val="24"/>
        </w:rPr>
        <w:t>D</w:t>
      </w:r>
      <w:r w:rsidRPr="003048F2">
        <w:rPr>
          <w:rFonts w:cs="Arial"/>
          <w:szCs w:val="24"/>
        </w:rPr>
        <w:t xml:space="preserve">elivery </w:t>
      </w:r>
      <w:r w:rsidR="005D2D6A">
        <w:rPr>
          <w:rFonts w:cs="Arial"/>
          <w:szCs w:val="24"/>
        </w:rPr>
        <w:t>P</w:t>
      </w:r>
      <w:r w:rsidRPr="003048F2">
        <w:rPr>
          <w:rFonts w:cs="Arial"/>
          <w:szCs w:val="24"/>
        </w:rPr>
        <w:t xml:space="preserve">lan to be </w:t>
      </w:r>
      <w:r w:rsidR="005D2D6A">
        <w:rPr>
          <w:rFonts w:cs="Arial"/>
          <w:szCs w:val="24"/>
        </w:rPr>
        <w:t xml:space="preserve">completed </w:t>
      </w:r>
      <w:r w:rsidRPr="003048F2">
        <w:rPr>
          <w:rFonts w:cs="Arial"/>
          <w:szCs w:val="24"/>
        </w:rPr>
        <w:t xml:space="preserve">by Oxfordshire Partners, </w:t>
      </w:r>
      <w:r w:rsidR="005C1878" w:rsidRPr="003048F2">
        <w:rPr>
          <w:rFonts w:cs="Arial"/>
          <w:szCs w:val="24"/>
        </w:rPr>
        <w:t>Homes England and MHCLG</w:t>
      </w:r>
      <w:r w:rsidRPr="003048F2">
        <w:rPr>
          <w:rFonts w:cs="Arial"/>
          <w:szCs w:val="24"/>
        </w:rPr>
        <w:t xml:space="preserve">. </w:t>
      </w:r>
      <w:r w:rsidR="005C1878" w:rsidRPr="003048F2">
        <w:rPr>
          <w:rFonts w:cs="Arial"/>
          <w:szCs w:val="24"/>
        </w:rPr>
        <w:t xml:space="preserve"> Work on the</w:t>
      </w:r>
      <w:r w:rsidR="004A3F04" w:rsidRPr="003048F2">
        <w:rPr>
          <w:rFonts w:cs="Arial"/>
          <w:szCs w:val="24"/>
        </w:rPr>
        <w:t xml:space="preserve"> </w:t>
      </w:r>
      <w:r w:rsidR="005D2D6A">
        <w:rPr>
          <w:rFonts w:cs="Arial"/>
          <w:szCs w:val="24"/>
        </w:rPr>
        <w:t>D</w:t>
      </w:r>
      <w:r w:rsidR="004A3F04" w:rsidRPr="003048F2">
        <w:rPr>
          <w:rFonts w:cs="Arial"/>
          <w:szCs w:val="24"/>
        </w:rPr>
        <w:t xml:space="preserve">elivery </w:t>
      </w:r>
      <w:r w:rsidR="005D2D6A">
        <w:rPr>
          <w:rFonts w:cs="Arial"/>
          <w:szCs w:val="24"/>
        </w:rPr>
        <w:t>P</w:t>
      </w:r>
      <w:r w:rsidR="004A3F04" w:rsidRPr="003048F2">
        <w:rPr>
          <w:rFonts w:cs="Arial"/>
          <w:szCs w:val="24"/>
        </w:rPr>
        <w:t xml:space="preserve">lan </w:t>
      </w:r>
      <w:r w:rsidR="00B31F4F" w:rsidRPr="003048F2">
        <w:rPr>
          <w:rFonts w:cs="Arial"/>
          <w:szCs w:val="24"/>
        </w:rPr>
        <w:t>has been</w:t>
      </w:r>
      <w:r w:rsidR="004A3F04" w:rsidRPr="003048F2">
        <w:rPr>
          <w:rFonts w:cs="Arial"/>
          <w:szCs w:val="24"/>
        </w:rPr>
        <w:t xml:space="preserve"> </w:t>
      </w:r>
      <w:r w:rsidR="005C1878" w:rsidRPr="003048F2">
        <w:rPr>
          <w:rFonts w:cs="Arial"/>
          <w:szCs w:val="24"/>
        </w:rPr>
        <w:t>completed</w:t>
      </w:r>
      <w:r w:rsidR="004A3F04" w:rsidRPr="003048F2">
        <w:rPr>
          <w:rFonts w:cs="Arial"/>
          <w:szCs w:val="24"/>
        </w:rPr>
        <w:t xml:space="preserve"> by a team of officers from the Oxfordshire Councils and </w:t>
      </w:r>
      <w:proofErr w:type="spellStart"/>
      <w:r w:rsidR="004A3F04" w:rsidRPr="003048F2">
        <w:rPr>
          <w:rFonts w:cs="Arial"/>
          <w:szCs w:val="24"/>
        </w:rPr>
        <w:t>OxLEP</w:t>
      </w:r>
      <w:proofErr w:type="spellEnd"/>
      <w:r w:rsidR="004A3F04" w:rsidRPr="003048F2">
        <w:rPr>
          <w:rFonts w:cs="Arial"/>
          <w:szCs w:val="24"/>
        </w:rPr>
        <w:t xml:space="preserve"> in discussion with officials from the </w:t>
      </w:r>
      <w:r w:rsidR="005C1878" w:rsidRPr="003048F2">
        <w:rPr>
          <w:rFonts w:cs="Arial"/>
          <w:szCs w:val="24"/>
        </w:rPr>
        <w:t>MHCLG and Homes England</w:t>
      </w:r>
      <w:r w:rsidR="004A3F04" w:rsidRPr="003048F2">
        <w:rPr>
          <w:rFonts w:cs="Arial"/>
          <w:szCs w:val="24"/>
        </w:rPr>
        <w:t xml:space="preserve">.  </w:t>
      </w:r>
      <w:r w:rsidRPr="003048F2">
        <w:rPr>
          <w:rFonts w:cs="Arial"/>
          <w:szCs w:val="24"/>
        </w:rPr>
        <w:t xml:space="preserve">Accordingly, this report introduces and seeks approval of the principles of the Deal as set out in the Outline Agreement, </w:t>
      </w:r>
      <w:r w:rsidR="00B31F4F" w:rsidRPr="003048F2">
        <w:rPr>
          <w:rFonts w:cs="Arial"/>
          <w:szCs w:val="24"/>
        </w:rPr>
        <w:t xml:space="preserve">and the Delivery Plan </w:t>
      </w:r>
      <w:r w:rsidRPr="003048F2">
        <w:rPr>
          <w:rFonts w:cs="Arial"/>
          <w:szCs w:val="24"/>
        </w:rPr>
        <w:t xml:space="preserve">with a delegation to the </w:t>
      </w:r>
      <w:r w:rsidR="005C1878" w:rsidRPr="003048F2">
        <w:rPr>
          <w:rFonts w:cs="Arial"/>
          <w:szCs w:val="24"/>
        </w:rPr>
        <w:t>Chief Executive</w:t>
      </w:r>
      <w:r w:rsidRPr="003048F2">
        <w:rPr>
          <w:rFonts w:cs="Arial"/>
          <w:szCs w:val="24"/>
        </w:rPr>
        <w:t xml:space="preserve">, in consultation with the Leader, to </w:t>
      </w:r>
      <w:r w:rsidR="00B31F4F" w:rsidRPr="003048F2">
        <w:rPr>
          <w:rFonts w:cs="Arial"/>
          <w:szCs w:val="24"/>
        </w:rPr>
        <w:t xml:space="preserve">make any required </w:t>
      </w:r>
      <w:r w:rsidR="005C1878" w:rsidRPr="003048F2">
        <w:rPr>
          <w:rFonts w:cs="Arial"/>
          <w:szCs w:val="24"/>
        </w:rPr>
        <w:t xml:space="preserve">non material </w:t>
      </w:r>
      <w:r w:rsidR="00B31F4F" w:rsidRPr="003048F2">
        <w:rPr>
          <w:rFonts w:cs="Arial"/>
          <w:szCs w:val="24"/>
        </w:rPr>
        <w:t xml:space="preserve">changes to the </w:t>
      </w:r>
      <w:r w:rsidRPr="003048F2">
        <w:rPr>
          <w:rFonts w:cs="Arial"/>
          <w:szCs w:val="24"/>
        </w:rPr>
        <w:t>delivery plan</w:t>
      </w:r>
      <w:r w:rsidR="005C1878" w:rsidRPr="003048F2">
        <w:rPr>
          <w:rFonts w:cs="Arial"/>
          <w:szCs w:val="24"/>
        </w:rPr>
        <w:t xml:space="preserve"> that may be required to secure agreement with Government</w:t>
      </w:r>
      <w:r w:rsidRPr="003048F2">
        <w:rPr>
          <w:rFonts w:cs="Arial"/>
          <w:szCs w:val="24"/>
        </w:rPr>
        <w:t>.</w:t>
      </w:r>
    </w:p>
    <w:p w14:paraId="44CB7218" w14:textId="77777777" w:rsidR="00215ADF" w:rsidRPr="003048F2" w:rsidRDefault="00215ADF" w:rsidP="007F6AFA">
      <w:pPr>
        <w:pStyle w:val="ReportPara"/>
        <w:numPr>
          <w:ilvl w:val="0"/>
          <w:numId w:val="0"/>
        </w:numPr>
        <w:tabs>
          <w:tab w:val="num" w:pos="1142"/>
        </w:tabs>
        <w:spacing w:after="0"/>
        <w:jc w:val="both"/>
        <w:rPr>
          <w:rFonts w:cs="Arial"/>
          <w:szCs w:val="24"/>
        </w:rPr>
      </w:pPr>
    </w:p>
    <w:p w14:paraId="5D7BF5AF" w14:textId="77777777" w:rsidR="000379EA" w:rsidRDefault="000379EA" w:rsidP="00F8588E">
      <w:pPr>
        <w:pStyle w:val="ReportPara"/>
        <w:numPr>
          <w:ilvl w:val="0"/>
          <w:numId w:val="0"/>
        </w:numPr>
        <w:spacing w:after="0"/>
        <w:jc w:val="both"/>
        <w:rPr>
          <w:rFonts w:cs="Arial"/>
          <w:b/>
          <w:szCs w:val="24"/>
        </w:rPr>
      </w:pPr>
      <w:r w:rsidRPr="003048F2">
        <w:rPr>
          <w:rFonts w:cs="Arial"/>
          <w:b/>
          <w:szCs w:val="24"/>
        </w:rPr>
        <w:t>Governance</w:t>
      </w:r>
    </w:p>
    <w:p w14:paraId="778D2412" w14:textId="77777777" w:rsidR="003048F2" w:rsidRPr="003048F2" w:rsidRDefault="003048F2" w:rsidP="003048F2">
      <w:pPr>
        <w:pStyle w:val="ReportPara"/>
        <w:numPr>
          <w:ilvl w:val="0"/>
          <w:numId w:val="0"/>
        </w:numPr>
        <w:spacing w:after="0"/>
        <w:ind w:left="450"/>
        <w:jc w:val="both"/>
        <w:rPr>
          <w:rFonts w:cs="Arial"/>
          <w:b/>
          <w:szCs w:val="24"/>
        </w:rPr>
      </w:pPr>
    </w:p>
    <w:p w14:paraId="7CADBD26" w14:textId="16A2A5CB" w:rsidR="00D66DBC" w:rsidRDefault="000379EA" w:rsidP="00F8588E">
      <w:pPr>
        <w:pStyle w:val="ReportPara"/>
        <w:numPr>
          <w:ilvl w:val="1"/>
          <w:numId w:val="7"/>
        </w:numPr>
        <w:spacing w:after="0"/>
        <w:ind w:left="567" w:hanging="567"/>
        <w:jc w:val="both"/>
        <w:rPr>
          <w:rFonts w:cs="Arial"/>
          <w:szCs w:val="24"/>
        </w:rPr>
      </w:pPr>
      <w:r w:rsidRPr="003048F2">
        <w:rPr>
          <w:rFonts w:cs="Arial"/>
          <w:szCs w:val="24"/>
        </w:rPr>
        <w:t>Once agreed by the constituent authorities, delivery of the D</w:t>
      </w:r>
      <w:r w:rsidR="00D66DBC" w:rsidRPr="003048F2">
        <w:rPr>
          <w:rFonts w:cs="Arial"/>
          <w:szCs w:val="24"/>
        </w:rPr>
        <w:t xml:space="preserve">eal will be overseen by the Growth Board, working in partnership with </w:t>
      </w:r>
      <w:r w:rsidR="005C1878" w:rsidRPr="003048F2">
        <w:rPr>
          <w:rFonts w:cs="Arial"/>
          <w:szCs w:val="24"/>
        </w:rPr>
        <w:t>Homes England</w:t>
      </w:r>
      <w:r w:rsidR="00D66DBC" w:rsidRPr="003048F2">
        <w:rPr>
          <w:rFonts w:cs="Arial"/>
          <w:szCs w:val="24"/>
        </w:rPr>
        <w:t xml:space="preserve">, Highways </w:t>
      </w:r>
      <w:r w:rsidR="003F3DC5">
        <w:rPr>
          <w:rFonts w:cs="Arial"/>
          <w:szCs w:val="24"/>
        </w:rPr>
        <w:t>England</w:t>
      </w:r>
      <w:r w:rsidR="003F3DC5" w:rsidRPr="003048F2">
        <w:rPr>
          <w:rFonts w:cs="Arial"/>
          <w:szCs w:val="24"/>
        </w:rPr>
        <w:t xml:space="preserve"> </w:t>
      </w:r>
      <w:r w:rsidR="00D66DBC" w:rsidRPr="003048F2">
        <w:rPr>
          <w:rFonts w:cs="Arial"/>
          <w:szCs w:val="24"/>
        </w:rPr>
        <w:t xml:space="preserve">and other partners. </w:t>
      </w:r>
    </w:p>
    <w:p w14:paraId="303E4953" w14:textId="77777777" w:rsidR="003048F2" w:rsidRPr="003048F2" w:rsidRDefault="003048F2" w:rsidP="00F8588E">
      <w:pPr>
        <w:pStyle w:val="ReportPara"/>
        <w:numPr>
          <w:ilvl w:val="0"/>
          <w:numId w:val="0"/>
        </w:numPr>
        <w:tabs>
          <w:tab w:val="num" w:pos="1134"/>
        </w:tabs>
        <w:spacing w:after="0"/>
        <w:ind w:left="567" w:hanging="567"/>
        <w:jc w:val="both"/>
        <w:rPr>
          <w:rFonts w:cs="Arial"/>
          <w:szCs w:val="24"/>
        </w:rPr>
      </w:pPr>
    </w:p>
    <w:p w14:paraId="0791BD1F" w14:textId="740CD77A" w:rsidR="000379EA" w:rsidRDefault="000379EA" w:rsidP="00F8588E">
      <w:pPr>
        <w:pStyle w:val="ListParagraph"/>
        <w:numPr>
          <w:ilvl w:val="1"/>
          <w:numId w:val="8"/>
        </w:numPr>
        <w:ind w:left="567" w:hanging="567"/>
        <w:contextualSpacing/>
        <w:rPr>
          <w:rFonts w:eastAsiaTheme="minorHAnsi" w:cs="Arial"/>
          <w:szCs w:val="24"/>
          <w:lang w:eastAsia="en-US"/>
        </w:rPr>
      </w:pPr>
      <w:r w:rsidRPr="003048F2">
        <w:rPr>
          <w:rFonts w:cs="Arial"/>
          <w:color w:val="000000" w:themeColor="text1"/>
          <w:szCs w:val="24"/>
        </w:rPr>
        <w:t>The Growth Board will</w:t>
      </w:r>
      <w:r w:rsidR="00A81CC7" w:rsidRPr="003048F2">
        <w:rPr>
          <w:rFonts w:cs="Arial"/>
          <w:color w:val="000000" w:themeColor="text1"/>
          <w:szCs w:val="24"/>
        </w:rPr>
        <w:t xml:space="preserve"> be responsible for oversight of the Deal, will agree delivery programmes and</w:t>
      </w:r>
      <w:r w:rsidRPr="003048F2">
        <w:rPr>
          <w:rFonts w:cs="Arial"/>
          <w:color w:val="000000" w:themeColor="text1"/>
          <w:szCs w:val="24"/>
        </w:rPr>
        <w:t xml:space="preserve"> make all decisions on the prioritisation and allocation of the funding secured through the Deal</w:t>
      </w:r>
      <w:r w:rsidR="00A81CC7" w:rsidRPr="003048F2">
        <w:rPr>
          <w:rFonts w:cs="Arial"/>
          <w:color w:val="000000" w:themeColor="text1"/>
          <w:szCs w:val="24"/>
        </w:rPr>
        <w:t xml:space="preserve">.   Progress on </w:t>
      </w:r>
      <w:r w:rsidR="00A81CC7" w:rsidRPr="003048F2">
        <w:rPr>
          <w:rFonts w:eastAsiaTheme="minorHAnsi" w:cs="Arial"/>
          <w:szCs w:val="24"/>
          <w:lang w:eastAsia="en-US"/>
        </w:rPr>
        <w:t>delivery of the work programmes will be monitored and reported to the Growth Board, MHCLG and Homes England on a quarterly basis.</w:t>
      </w:r>
    </w:p>
    <w:p w14:paraId="35FE338F" w14:textId="77777777" w:rsidR="00F8588E" w:rsidRPr="00F8588E" w:rsidRDefault="00F8588E" w:rsidP="00F8588E">
      <w:pPr>
        <w:contextualSpacing/>
        <w:rPr>
          <w:rFonts w:eastAsiaTheme="minorHAnsi" w:cs="Arial"/>
          <w:szCs w:val="24"/>
          <w:lang w:eastAsia="en-US"/>
        </w:rPr>
      </w:pPr>
    </w:p>
    <w:p w14:paraId="7D110CAC" w14:textId="44ECF58D" w:rsidR="000379EA" w:rsidRPr="003048F2" w:rsidRDefault="000379EA" w:rsidP="00F8588E">
      <w:pPr>
        <w:pStyle w:val="Heading3"/>
        <w:keepNext/>
        <w:keepLines/>
        <w:numPr>
          <w:ilvl w:val="1"/>
          <w:numId w:val="8"/>
        </w:numPr>
        <w:spacing w:after="0"/>
        <w:ind w:left="567" w:hanging="567"/>
        <w:jc w:val="both"/>
        <w:rPr>
          <w:rFonts w:cs="Arial"/>
          <w:b w:val="0"/>
          <w:color w:val="000000" w:themeColor="text1"/>
          <w:szCs w:val="24"/>
        </w:rPr>
      </w:pPr>
      <w:r w:rsidRPr="003048F2">
        <w:rPr>
          <w:rFonts w:cs="Arial"/>
          <w:b w:val="0"/>
          <w:color w:val="000000" w:themeColor="text1"/>
          <w:szCs w:val="24"/>
        </w:rPr>
        <w:t>Recommendations to the Growth Board on funding decisions and reporting on programmes will come from officer programme groups, via the Executive Officer and Chief Executive Groups reporting into the Growth Board.</w:t>
      </w:r>
    </w:p>
    <w:p w14:paraId="12202E74" w14:textId="77777777" w:rsidR="00A81CC7" w:rsidRPr="00F8588E" w:rsidRDefault="00A81CC7" w:rsidP="00F8588E">
      <w:pPr>
        <w:rPr>
          <w:rFonts w:cs="Arial"/>
          <w:szCs w:val="24"/>
        </w:rPr>
      </w:pPr>
    </w:p>
    <w:p w14:paraId="77A2D74D" w14:textId="5F28B564" w:rsidR="000379EA" w:rsidRPr="003D32FA" w:rsidRDefault="00173EC1" w:rsidP="00F8588E">
      <w:pPr>
        <w:pStyle w:val="ReportPara"/>
        <w:numPr>
          <w:ilvl w:val="0"/>
          <w:numId w:val="0"/>
        </w:numPr>
        <w:spacing w:after="0"/>
        <w:ind w:left="567" w:hanging="566"/>
        <w:jc w:val="both"/>
        <w:rPr>
          <w:rFonts w:cs="Arial"/>
          <w:szCs w:val="24"/>
        </w:rPr>
      </w:pPr>
      <w:r>
        <w:rPr>
          <w:rFonts w:cs="Arial"/>
          <w:color w:val="000000" w:themeColor="text1"/>
          <w:szCs w:val="24"/>
        </w:rPr>
        <w:t xml:space="preserve">3.36 </w:t>
      </w:r>
      <w:r w:rsidR="0062633F">
        <w:rPr>
          <w:rFonts w:cs="Arial"/>
          <w:color w:val="000000" w:themeColor="text1"/>
          <w:szCs w:val="24"/>
        </w:rPr>
        <w:tab/>
      </w:r>
      <w:r>
        <w:rPr>
          <w:rFonts w:cs="Arial"/>
          <w:color w:val="000000" w:themeColor="text1"/>
          <w:szCs w:val="24"/>
        </w:rPr>
        <w:t>T</w:t>
      </w:r>
      <w:r w:rsidR="000379EA" w:rsidRPr="003D32FA">
        <w:rPr>
          <w:rFonts w:cs="Arial"/>
          <w:color w:val="000000" w:themeColor="text1"/>
          <w:szCs w:val="24"/>
        </w:rPr>
        <w:t xml:space="preserve">he terms of reference for the Growth Board will be reviewed </w:t>
      </w:r>
      <w:r w:rsidR="003D32FA" w:rsidRPr="003D32FA">
        <w:rPr>
          <w:rFonts w:cs="Arial"/>
          <w:color w:val="000000" w:themeColor="text1"/>
          <w:szCs w:val="24"/>
        </w:rPr>
        <w:t>to ensure they</w:t>
      </w:r>
      <w:r w:rsidR="00A81CC7" w:rsidRPr="003D32FA">
        <w:rPr>
          <w:rFonts w:cs="Arial"/>
          <w:color w:val="000000" w:themeColor="text1"/>
          <w:szCs w:val="24"/>
        </w:rPr>
        <w:t xml:space="preserve"> reflect</w:t>
      </w:r>
      <w:r w:rsidR="009A4A5F" w:rsidRPr="003D32FA">
        <w:rPr>
          <w:rFonts w:cs="Arial"/>
          <w:color w:val="000000" w:themeColor="text1"/>
          <w:szCs w:val="24"/>
        </w:rPr>
        <w:t xml:space="preserve"> new </w:t>
      </w:r>
      <w:r w:rsidR="00A81CC7" w:rsidRPr="003D32FA">
        <w:rPr>
          <w:rFonts w:cs="Arial"/>
          <w:color w:val="000000" w:themeColor="text1"/>
          <w:szCs w:val="24"/>
        </w:rPr>
        <w:t>responsibilities for</w:t>
      </w:r>
      <w:r w:rsidR="000379EA" w:rsidRPr="003D32FA">
        <w:rPr>
          <w:rFonts w:cs="Arial"/>
          <w:color w:val="000000" w:themeColor="text1"/>
          <w:szCs w:val="24"/>
        </w:rPr>
        <w:t xml:space="preserve"> oversight of the delivery of the Deal</w:t>
      </w:r>
      <w:r w:rsidR="00A81CC7" w:rsidRPr="003D32FA">
        <w:rPr>
          <w:rFonts w:cs="Arial"/>
          <w:color w:val="000000" w:themeColor="text1"/>
          <w:szCs w:val="24"/>
        </w:rPr>
        <w:t>. This review w</w:t>
      </w:r>
      <w:r w:rsidR="009A4A5F" w:rsidRPr="003D32FA">
        <w:rPr>
          <w:rFonts w:cs="Arial"/>
          <w:color w:val="000000" w:themeColor="text1"/>
          <w:szCs w:val="24"/>
        </w:rPr>
        <w:t>ill be completed by April 2018. It is proposed that agreement of</w:t>
      </w:r>
      <w:r w:rsidR="003D32FA" w:rsidRPr="003D32FA">
        <w:rPr>
          <w:rFonts w:cs="Arial"/>
          <w:color w:val="000000" w:themeColor="text1"/>
          <w:szCs w:val="24"/>
        </w:rPr>
        <w:t xml:space="preserve"> any amendments to</w:t>
      </w:r>
      <w:r w:rsidR="009A4A5F" w:rsidRPr="003D32FA">
        <w:rPr>
          <w:rFonts w:cs="Arial"/>
          <w:color w:val="000000" w:themeColor="text1"/>
          <w:szCs w:val="24"/>
        </w:rPr>
        <w:t xml:space="preserve"> the revised Terms of Reference</w:t>
      </w:r>
      <w:r w:rsidR="003D32FA" w:rsidRPr="003D32FA">
        <w:rPr>
          <w:rFonts w:cs="Arial"/>
          <w:color w:val="000000" w:themeColor="text1"/>
          <w:szCs w:val="24"/>
        </w:rPr>
        <w:t xml:space="preserve"> required </w:t>
      </w:r>
      <w:r w:rsidR="003D32FA" w:rsidRPr="003D32FA">
        <w:rPr>
          <w:rFonts w:cs="Arial"/>
          <w:szCs w:val="24"/>
        </w:rPr>
        <w:t xml:space="preserve">to support the Delivery of the Housing and Growth Deal </w:t>
      </w:r>
      <w:r w:rsidR="009A4A5F" w:rsidRPr="003D32FA">
        <w:rPr>
          <w:rFonts w:cs="Arial"/>
          <w:color w:val="000000" w:themeColor="text1"/>
          <w:szCs w:val="24"/>
        </w:rPr>
        <w:t xml:space="preserve">should be delegated to Chief Executives / Heads of </w:t>
      </w:r>
      <w:r w:rsidR="003D32FA">
        <w:rPr>
          <w:rFonts w:cs="Arial"/>
          <w:color w:val="000000" w:themeColor="text1"/>
          <w:szCs w:val="24"/>
        </w:rPr>
        <w:t xml:space="preserve">Paid </w:t>
      </w:r>
      <w:r w:rsidR="009A4A5F" w:rsidRPr="003D32FA">
        <w:rPr>
          <w:rFonts w:cs="Arial"/>
          <w:color w:val="000000" w:themeColor="text1"/>
          <w:szCs w:val="24"/>
        </w:rPr>
        <w:t>Service</w:t>
      </w:r>
      <w:r w:rsidR="00B144B0">
        <w:rPr>
          <w:rFonts w:cs="Arial"/>
          <w:color w:val="000000" w:themeColor="text1"/>
          <w:szCs w:val="24"/>
        </w:rPr>
        <w:t>/Cabinet*</w:t>
      </w:r>
      <w:r w:rsidR="009A4A5F" w:rsidRPr="003D32FA">
        <w:rPr>
          <w:rFonts w:cs="Arial"/>
          <w:color w:val="000000" w:themeColor="text1"/>
          <w:szCs w:val="24"/>
        </w:rPr>
        <w:t xml:space="preserve"> of the Local Authorities in consultation with the Leaders.</w:t>
      </w:r>
      <w:r w:rsidR="00A81CC7" w:rsidRPr="003D32FA">
        <w:rPr>
          <w:rFonts w:cs="Arial"/>
          <w:color w:val="000000" w:themeColor="text1"/>
          <w:szCs w:val="24"/>
        </w:rPr>
        <w:t xml:space="preserve"> Decisions that are required to be made in advance of that date to meet commitments in the Delivery Plan will </w:t>
      </w:r>
      <w:r w:rsidR="009A4A5F" w:rsidRPr="003D32FA">
        <w:rPr>
          <w:rFonts w:cs="Arial"/>
          <w:color w:val="000000" w:themeColor="text1"/>
          <w:szCs w:val="24"/>
        </w:rPr>
        <w:t xml:space="preserve">also </w:t>
      </w:r>
      <w:r w:rsidR="00A81CC7" w:rsidRPr="003D32FA">
        <w:rPr>
          <w:rFonts w:cs="Arial"/>
          <w:color w:val="000000" w:themeColor="text1"/>
          <w:szCs w:val="24"/>
        </w:rPr>
        <w:t>be delegated to the Chief Executive</w:t>
      </w:r>
      <w:r w:rsidR="009A4A5F" w:rsidRPr="003D32FA">
        <w:rPr>
          <w:rFonts w:cs="Arial"/>
          <w:color w:val="000000" w:themeColor="text1"/>
          <w:szCs w:val="24"/>
        </w:rPr>
        <w:t xml:space="preserve"> / Head of Paid Service</w:t>
      </w:r>
      <w:r w:rsidR="00B144B0">
        <w:rPr>
          <w:rFonts w:cs="Arial"/>
          <w:color w:val="000000" w:themeColor="text1"/>
          <w:szCs w:val="24"/>
        </w:rPr>
        <w:t>/Cabinet*</w:t>
      </w:r>
      <w:r w:rsidR="009A4A5F" w:rsidRPr="003D32FA">
        <w:rPr>
          <w:rFonts w:cs="Arial"/>
          <w:color w:val="000000" w:themeColor="text1"/>
          <w:szCs w:val="24"/>
        </w:rPr>
        <w:t xml:space="preserve"> of the local authorities in consultation with the Leaders. </w:t>
      </w:r>
    </w:p>
    <w:p w14:paraId="3D2AA9E5" w14:textId="77777777" w:rsidR="009A4A5F" w:rsidRPr="003048F2" w:rsidRDefault="009A4A5F" w:rsidP="0062633F">
      <w:pPr>
        <w:pStyle w:val="ListParagraph"/>
        <w:ind w:left="1"/>
        <w:rPr>
          <w:rFonts w:cs="Arial"/>
          <w:szCs w:val="24"/>
        </w:rPr>
      </w:pPr>
    </w:p>
    <w:p w14:paraId="28C49906" w14:textId="64B77B33" w:rsidR="009A4A5F" w:rsidRPr="003048F2" w:rsidRDefault="009A4A5F" w:rsidP="0062633F">
      <w:pPr>
        <w:pStyle w:val="ReportPara"/>
        <w:numPr>
          <w:ilvl w:val="1"/>
          <w:numId w:val="9"/>
        </w:numPr>
        <w:spacing w:after="0"/>
        <w:ind w:left="567" w:hanging="567"/>
        <w:jc w:val="both"/>
        <w:rPr>
          <w:rFonts w:cs="Arial"/>
          <w:szCs w:val="24"/>
        </w:rPr>
      </w:pPr>
      <w:r w:rsidRPr="003048F2">
        <w:rPr>
          <w:rFonts w:cs="Arial"/>
          <w:szCs w:val="24"/>
        </w:rPr>
        <w:t xml:space="preserve">It is proposed that Oxfordshire County Council will be the Accountable Body for the Deal and receive payments from </w:t>
      </w:r>
      <w:r w:rsidR="005D2D6A">
        <w:rPr>
          <w:rFonts w:cs="Arial"/>
          <w:szCs w:val="24"/>
        </w:rPr>
        <w:t>G</w:t>
      </w:r>
      <w:r w:rsidRPr="003048F2">
        <w:rPr>
          <w:rFonts w:cs="Arial"/>
          <w:szCs w:val="24"/>
        </w:rPr>
        <w:t xml:space="preserve">overnment. The County Council is already the </w:t>
      </w:r>
      <w:r w:rsidRPr="003048F2">
        <w:rPr>
          <w:rFonts w:cs="Arial"/>
          <w:color w:val="000000" w:themeColor="text1"/>
          <w:szCs w:val="24"/>
        </w:rPr>
        <w:t xml:space="preserve">Accountable Body for the Growth Board and provides Section 151 and Monitoring Officer roles to the Committee. </w:t>
      </w:r>
    </w:p>
    <w:p w14:paraId="192F4510" w14:textId="77777777" w:rsidR="009A4A5F" w:rsidRPr="003048F2" w:rsidRDefault="009A4A5F" w:rsidP="00F8588E">
      <w:pPr>
        <w:pStyle w:val="ListParagraph"/>
        <w:ind w:left="32"/>
        <w:rPr>
          <w:rFonts w:cs="Arial"/>
          <w:szCs w:val="24"/>
        </w:rPr>
      </w:pPr>
    </w:p>
    <w:p w14:paraId="45792E09" w14:textId="6894F3ED" w:rsidR="009A4A5F" w:rsidRPr="003048F2" w:rsidRDefault="00124AE4" w:rsidP="00F8588E">
      <w:pPr>
        <w:pStyle w:val="Heading3"/>
        <w:keepNext/>
        <w:keepLines/>
        <w:tabs>
          <w:tab w:val="left" w:pos="1276"/>
        </w:tabs>
        <w:spacing w:after="0"/>
        <w:ind w:left="588" w:hanging="588"/>
        <w:jc w:val="both"/>
        <w:rPr>
          <w:rFonts w:cs="Arial"/>
          <w:b w:val="0"/>
          <w:szCs w:val="24"/>
        </w:rPr>
      </w:pPr>
      <w:r w:rsidRPr="003048F2">
        <w:rPr>
          <w:rFonts w:cs="Arial"/>
          <w:b w:val="0"/>
          <w:color w:val="000000" w:themeColor="text1"/>
          <w:szCs w:val="24"/>
          <w:lang w:val="en-US"/>
        </w:rPr>
        <w:t>3.3</w:t>
      </w:r>
      <w:r w:rsidR="00173EC1">
        <w:rPr>
          <w:rFonts w:cs="Arial"/>
          <w:b w:val="0"/>
          <w:color w:val="000000" w:themeColor="text1"/>
          <w:szCs w:val="24"/>
          <w:lang w:val="en-US"/>
        </w:rPr>
        <w:t xml:space="preserve">8 </w:t>
      </w:r>
      <w:r w:rsidRPr="003048F2">
        <w:rPr>
          <w:rFonts w:cs="Arial"/>
          <w:b w:val="0"/>
          <w:color w:val="000000" w:themeColor="text1"/>
          <w:szCs w:val="24"/>
          <w:lang w:val="en-US"/>
        </w:rPr>
        <w:t>The Delivery Plan includes an assurance framework that</w:t>
      </w:r>
      <w:r w:rsidR="001E2843">
        <w:rPr>
          <w:rFonts w:cs="Arial"/>
          <w:b w:val="0"/>
          <w:color w:val="000000" w:themeColor="text1"/>
          <w:szCs w:val="24"/>
          <w:lang w:val="en-US"/>
        </w:rPr>
        <w:t xml:space="preserve"> will</w:t>
      </w:r>
      <w:r w:rsidRPr="003048F2">
        <w:rPr>
          <w:rFonts w:cs="Arial"/>
          <w:b w:val="0"/>
          <w:color w:val="000000" w:themeColor="text1"/>
          <w:szCs w:val="24"/>
          <w:lang w:val="en-US"/>
        </w:rPr>
        <w:t xml:space="preserve"> be the mechanism and process for ensuring the oversight and reporting of performance against the delivery p</w:t>
      </w:r>
      <w:r w:rsidR="003048F2">
        <w:rPr>
          <w:rFonts w:cs="Arial"/>
          <w:b w:val="0"/>
          <w:color w:val="000000" w:themeColor="text1"/>
          <w:szCs w:val="24"/>
          <w:lang w:val="en-US"/>
        </w:rPr>
        <w:t>lan targets by the Oxfordshire P</w:t>
      </w:r>
      <w:r w:rsidRPr="003048F2">
        <w:rPr>
          <w:rFonts w:cs="Arial"/>
          <w:b w:val="0"/>
          <w:color w:val="000000" w:themeColor="text1"/>
          <w:szCs w:val="24"/>
          <w:lang w:val="en-US"/>
        </w:rPr>
        <w:t xml:space="preserve">artners. </w:t>
      </w:r>
      <w:r w:rsidR="009A4A5F" w:rsidRPr="003048F2">
        <w:rPr>
          <w:rFonts w:cs="Arial"/>
          <w:b w:val="0"/>
          <w:color w:val="000000" w:themeColor="text1"/>
          <w:szCs w:val="24"/>
          <w:lang w:val="en-US"/>
        </w:rPr>
        <w:t xml:space="preserve">A strategic </w:t>
      </w:r>
      <w:proofErr w:type="spellStart"/>
      <w:r w:rsidR="009A4A5F" w:rsidRPr="003048F2">
        <w:rPr>
          <w:rFonts w:cs="Arial"/>
          <w:b w:val="0"/>
          <w:color w:val="000000" w:themeColor="text1"/>
          <w:szCs w:val="24"/>
          <w:lang w:val="en-US"/>
        </w:rPr>
        <w:t>programme</w:t>
      </w:r>
      <w:proofErr w:type="spellEnd"/>
      <w:r w:rsidR="009A4A5F" w:rsidRPr="003048F2">
        <w:rPr>
          <w:rFonts w:cs="Arial"/>
          <w:b w:val="0"/>
          <w:color w:val="000000" w:themeColor="text1"/>
          <w:szCs w:val="24"/>
          <w:lang w:val="en-US"/>
        </w:rPr>
        <w:t xml:space="preserve"> and project management approach will be used to manage the overall growth and housing deal </w:t>
      </w:r>
      <w:proofErr w:type="spellStart"/>
      <w:r w:rsidR="009A4A5F" w:rsidRPr="003048F2">
        <w:rPr>
          <w:rFonts w:cs="Arial"/>
          <w:b w:val="0"/>
          <w:color w:val="000000" w:themeColor="text1"/>
          <w:szCs w:val="24"/>
          <w:lang w:val="en-US"/>
        </w:rPr>
        <w:t>programme</w:t>
      </w:r>
      <w:proofErr w:type="spellEnd"/>
      <w:r w:rsidR="009A4A5F" w:rsidRPr="003048F2">
        <w:rPr>
          <w:rFonts w:cs="Arial"/>
          <w:b w:val="0"/>
          <w:color w:val="000000" w:themeColor="text1"/>
          <w:szCs w:val="24"/>
          <w:lang w:val="en-US"/>
        </w:rPr>
        <w:t xml:space="preserve"> on behalf of the </w:t>
      </w:r>
      <w:r w:rsidRPr="003048F2">
        <w:rPr>
          <w:rFonts w:cs="Arial"/>
          <w:b w:val="0"/>
          <w:color w:val="000000" w:themeColor="text1"/>
          <w:szCs w:val="24"/>
          <w:lang w:val="en-US"/>
        </w:rPr>
        <w:t>Growth Board</w:t>
      </w:r>
      <w:r w:rsidR="009A4A5F" w:rsidRPr="003048F2">
        <w:rPr>
          <w:rFonts w:cs="Arial"/>
          <w:b w:val="0"/>
          <w:color w:val="000000" w:themeColor="text1"/>
          <w:szCs w:val="24"/>
          <w:lang w:val="en-US"/>
        </w:rPr>
        <w:t xml:space="preserve">. A formal project and risk management approach will be followed for each </w:t>
      </w:r>
      <w:proofErr w:type="spellStart"/>
      <w:r w:rsidR="009A4A5F" w:rsidRPr="003048F2">
        <w:rPr>
          <w:rFonts w:cs="Arial"/>
          <w:b w:val="0"/>
          <w:color w:val="000000" w:themeColor="text1"/>
          <w:szCs w:val="24"/>
          <w:lang w:val="en-US"/>
        </w:rPr>
        <w:t>programme</w:t>
      </w:r>
      <w:proofErr w:type="spellEnd"/>
      <w:r w:rsidR="009A4A5F" w:rsidRPr="003048F2">
        <w:rPr>
          <w:rFonts w:cs="Arial"/>
          <w:b w:val="0"/>
          <w:color w:val="000000" w:themeColor="text1"/>
          <w:szCs w:val="24"/>
          <w:lang w:val="en-US"/>
        </w:rPr>
        <w:t xml:space="preserve"> and project</w:t>
      </w:r>
      <w:r w:rsidRPr="003048F2">
        <w:rPr>
          <w:rFonts w:cs="Arial"/>
          <w:b w:val="0"/>
          <w:color w:val="000000" w:themeColor="text1"/>
          <w:szCs w:val="24"/>
          <w:lang w:val="en-US"/>
        </w:rPr>
        <w:t>.</w:t>
      </w:r>
    </w:p>
    <w:p w14:paraId="54E7E416" w14:textId="77777777" w:rsidR="00445685" w:rsidRPr="003048F2" w:rsidRDefault="00445685" w:rsidP="003048F2">
      <w:pPr>
        <w:pStyle w:val="ReportPara"/>
        <w:numPr>
          <w:ilvl w:val="0"/>
          <w:numId w:val="0"/>
        </w:numPr>
        <w:tabs>
          <w:tab w:val="num" w:pos="1080"/>
          <w:tab w:val="num" w:pos="1134"/>
        </w:tabs>
        <w:spacing w:after="0"/>
        <w:ind w:left="450"/>
        <w:jc w:val="both"/>
        <w:rPr>
          <w:rFonts w:cs="Arial"/>
          <w:szCs w:val="24"/>
        </w:rPr>
      </w:pPr>
    </w:p>
    <w:bookmarkEnd w:id="1"/>
    <w:p w14:paraId="5F261182" w14:textId="77777777" w:rsidR="00C5447E" w:rsidRDefault="00F278AE" w:rsidP="005573AC">
      <w:pPr>
        <w:pStyle w:val="Heading1"/>
        <w:numPr>
          <w:ilvl w:val="0"/>
          <w:numId w:val="9"/>
        </w:numPr>
        <w:spacing w:before="0" w:after="0"/>
        <w:ind w:left="450" w:hanging="450"/>
        <w:jc w:val="both"/>
        <w:rPr>
          <w:rFonts w:cs="Arial"/>
        </w:rPr>
      </w:pPr>
      <w:r w:rsidRPr="003048F2">
        <w:rPr>
          <w:rFonts w:cs="Arial"/>
        </w:rPr>
        <w:t>FINANCIAL IMPLICATIONS</w:t>
      </w:r>
    </w:p>
    <w:p w14:paraId="1484BDEC" w14:textId="77777777" w:rsidR="00F8588E" w:rsidRPr="00F8588E" w:rsidRDefault="00F8588E" w:rsidP="00F8588E">
      <w:pPr>
        <w:pStyle w:val="ReportPara"/>
        <w:numPr>
          <w:ilvl w:val="0"/>
          <w:numId w:val="0"/>
        </w:numPr>
      </w:pPr>
    </w:p>
    <w:p w14:paraId="527A892F" w14:textId="77777777" w:rsidR="00577B61" w:rsidRDefault="001956BF" w:rsidP="00F8588E">
      <w:pPr>
        <w:pStyle w:val="ReportPara"/>
        <w:numPr>
          <w:ilvl w:val="1"/>
          <w:numId w:val="3"/>
        </w:numPr>
        <w:spacing w:after="0"/>
        <w:ind w:left="567" w:hanging="567"/>
        <w:jc w:val="both"/>
        <w:rPr>
          <w:rFonts w:cs="Arial"/>
          <w:szCs w:val="24"/>
        </w:rPr>
      </w:pPr>
      <w:r w:rsidRPr="003048F2">
        <w:rPr>
          <w:rFonts w:cs="Arial"/>
          <w:szCs w:val="24"/>
        </w:rPr>
        <w:t xml:space="preserve">The Oxfordshire Housing and Growth Deal will provide £150 million for infrastructure, £60 million for affordable housing and £5 million capacity funding.  This is additional funding for Oxfordshire.  </w:t>
      </w:r>
      <w:r w:rsidR="00D04ECC" w:rsidRPr="003048F2">
        <w:rPr>
          <w:rFonts w:cs="Arial"/>
          <w:szCs w:val="24"/>
        </w:rPr>
        <w:t xml:space="preserve">This </w:t>
      </w:r>
      <w:r w:rsidR="004A3F04" w:rsidRPr="003048F2">
        <w:rPr>
          <w:rFonts w:cs="Arial"/>
          <w:szCs w:val="24"/>
        </w:rPr>
        <w:t>sh</w:t>
      </w:r>
      <w:r w:rsidR="00CB71BB" w:rsidRPr="003048F2">
        <w:rPr>
          <w:rFonts w:cs="Arial"/>
          <w:szCs w:val="24"/>
        </w:rPr>
        <w:t>ould</w:t>
      </w:r>
      <w:r w:rsidR="00D04ECC" w:rsidRPr="003048F2">
        <w:rPr>
          <w:rFonts w:cs="Arial"/>
          <w:szCs w:val="24"/>
        </w:rPr>
        <w:t xml:space="preserve"> help deliver planned development in Oxfordshire resulting in additional New Homes Bonus and Council Tax revenues.</w:t>
      </w:r>
    </w:p>
    <w:p w14:paraId="41EDAB90" w14:textId="77777777" w:rsidR="003048F2" w:rsidRPr="003048F2" w:rsidRDefault="003048F2" w:rsidP="00F8588E">
      <w:pPr>
        <w:pStyle w:val="ReportPara"/>
        <w:numPr>
          <w:ilvl w:val="0"/>
          <w:numId w:val="0"/>
        </w:numPr>
        <w:spacing w:after="0"/>
        <w:ind w:left="567" w:hanging="567"/>
        <w:jc w:val="both"/>
        <w:rPr>
          <w:rFonts w:cs="Arial"/>
          <w:szCs w:val="24"/>
        </w:rPr>
      </w:pPr>
    </w:p>
    <w:p w14:paraId="55DB84D5" w14:textId="7848BB6E" w:rsidR="003A0D8E" w:rsidRDefault="00755937" w:rsidP="00F8588E">
      <w:pPr>
        <w:pStyle w:val="ReportPara"/>
        <w:numPr>
          <w:ilvl w:val="1"/>
          <w:numId w:val="3"/>
        </w:numPr>
        <w:spacing w:after="0"/>
        <w:ind w:left="567" w:hanging="567"/>
        <w:jc w:val="both"/>
        <w:rPr>
          <w:rFonts w:cs="Arial"/>
          <w:szCs w:val="24"/>
        </w:rPr>
      </w:pPr>
      <w:r w:rsidRPr="003048F2">
        <w:rPr>
          <w:rFonts w:cs="Arial"/>
          <w:szCs w:val="24"/>
        </w:rPr>
        <w:t xml:space="preserve">The </w:t>
      </w:r>
      <w:r w:rsidR="00610FE4" w:rsidRPr="003048F2">
        <w:rPr>
          <w:rFonts w:cs="Arial"/>
          <w:szCs w:val="24"/>
        </w:rPr>
        <w:t>Capacity Funding will provide £2.5m</w:t>
      </w:r>
      <w:r w:rsidR="003A0D8E" w:rsidRPr="003048F2">
        <w:rPr>
          <w:rFonts w:cs="Arial"/>
          <w:szCs w:val="24"/>
        </w:rPr>
        <w:t xml:space="preserve"> additional funding to Oxfordshire</w:t>
      </w:r>
      <w:r w:rsidR="00610FE4" w:rsidRPr="003048F2">
        <w:rPr>
          <w:rFonts w:cs="Arial"/>
          <w:szCs w:val="24"/>
        </w:rPr>
        <w:t xml:space="preserve"> to support the </w:t>
      </w:r>
      <w:r w:rsidRPr="003048F2">
        <w:rPr>
          <w:rFonts w:cs="Arial"/>
          <w:szCs w:val="24"/>
        </w:rPr>
        <w:t>preparation of a Joint Statutory Spatial Plan</w:t>
      </w:r>
      <w:r w:rsidR="003A0D8E" w:rsidRPr="003048F2">
        <w:rPr>
          <w:rFonts w:cs="Arial"/>
          <w:szCs w:val="24"/>
        </w:rPr>
        <w:t>; £1.5m to support Strategic Housing Delivery and £1m for feasibility work.</w:t>
      </w:r>
      <w:r w:rsidR="005C1878" w:rsidRPr="003048F2">
        <w:rPr>
          <w:rFonts w:cs="Arial"/>
          <w:szCs w:val="24"/>
        </w:rPr>
        <w:t xml:space="preserve">  A joint Statutory Spatial Plan </w:t>
      </w:r>
      <w:r w:rsidR="000379EA" w:rsidRPr="003048F2">
        <w:rPr>
          <w:rFonts w:cs="Arial"/>
          <w:szCs w:val="24"/>
        </w:rPr>
        <w:t>is expected to result in efficiencies in further Local Plan work.</w:t>
      </w:r>
    </w:p>
    <w:p w14:paraId="752B6A68" w14:textId="77777777" w:rsidR="00215ADF" w:rsidRPr="003048F2" w:rsidRDefault="00215ADF" w:rsidP="00215ADF">
      <w:pPr>
        <w:pStyle w:val="ReportPara"/>
        <w:numPr>
          <w:ilvl w:val="0"/>
          <w:numId w:val="0"/>
        </w:numPr>
        <w:spacing w:after="0"/>
        <w:jc w:val="both"/>
        <w:rPr>
          <w:rFonts w:cs="Arial"/>
          <w:szCs w:val="24"/>
        </w:rPr>
      </w:pPr>
    </w:p>
    <w:p w14:paraId="6183D131" w14:textId="77777777" w:rsidR="005C1878" w:rsidRPr="003048F2" w:rsidRDefault="005C1878" w:rsidP="003048F2">
      <w:pPr>
        <w:pStyle w:val="ReportPara"/>
        <w:numPr>
          <w:ilvl w:val="0"/>
          <w:numId w:val="0"/>
        </w:numPr>
        <w:spacing w:after="0"/>
        <w:ind w:left="1170"/>
        <w:jc w:val="both"/>
        <w:rPr>
          <w:rFonts w:cs="Arial"/>
          <w:szCs w:val="24"/>
        </w:rPr>
      </w:pPr>
    </w:p>
    <w:p w14:paraId="18FD41A2" w14:textId="77777777" w:rsidR="003A0D8E" w:rsidRPr="003048F2" w:rsidRDefault="003A0D8E" w:rsidP="005573AC">
      <w:pPr>
        <w:pStyle w:val="Heading1"/>
        <w:numPr>
          <w:ilvl w:val="0"/>
          <w:numId w:val="9"/>
        </w:numPr>
        <w:spacing w:before="0" w:after="0"/>
        <w:rPr>
          <w:rFonts w:cs="Arial"/>
        </w:rPr>
      </w:pPr>
      <w:r w:rsidRPr="003048F2">
        <w:rPr>
          <w:rFonts w:cs="Arial"/>
        </w:rPr>
        <w:t>legal implications</w:t>
      </w:r>
    </w:p>
    <w:p w14:paraId="50C21632" w14:textId="77777777" w:rsidR="00173EC1" w:rsidRDefault="00173EC1" w:rsidP="00173EC1">
      <w:pPr>
        <w:pStyle w:val="ReportPara"/>
        <w:numPr>
          <w:ilvl w:val="0"/>
          <w:numId w:val="0"/>
        </w:numPr>
        <w:spacing w:after="0"/>
        <w:ind w:left="1142" w:hanging="432"/>
        <w:rPr>
          <w:rFonts w:cs="Arial"/>
          <w:szCs w:val="24"/>
        </w:rPr>
      </w:pPr>
    </w:p>
    <w:p w14:paraId="46CBAEDB" w14:textId="5BEBE9B7" w:rsidR="003A0D8E" w:rsidRPr="003048F2" w:rsidRDefault="00F8588E" w:rsidP="00F8588E">
      <w:pPr>
        <w:pStyle w:val="ReportPara"/>
        <w:numPr>
          <w:ilvl w:val="0"/>
          <w:numId w:val="0"/>
        </w:numPr>
        <w:spacing w:after="0"/>
        <w:ind w:left="567" w:hanging="567"/>
        <w:rPr>
          <w:rFonts w:eastAsiaTheme="minorHAnsi" w:cs="Arial"/>
          <w:szCs w:val="24"/>
        </w:rPr>
      </w:pPr>
      <w:r>
        <w:rPr>
          <w:rFonts w:cs="Arial"/>
          <w:szCs w:val="24"/>
        </w:rPr>
        <w:t>5.1</w:t>
      </w:r>
      <w:r>
        <w:rPr>
          <w:rFonts w:cs="Arial"/>
          <w:szCs w:val="24"/>
        </w:rPr>
        <w:tab/>
      </w:r>
      <w:r w:rsidR="003A0D8E" w:rsidRPr="003048F2">
        <w:rPr>
          <w:rFonts w:cs="Arial"/>
          <w:szCs w:val="24"/>
        </w:rPr>
        <w:t>The Monitoring Officer has been fully consulted in the production of the report and the legal implications and governance arrangements are covered in the body of the report.</w:t>
      </w:r>
    </w:p>
    <w:p w14:paraId="37C3A4CE" w14:textId="77777777" w:rsidR="0062633F" w:rsidRDefault="0062633F" w:rsidP="00F8588E">
      <w:pPr>
        <w:pStyle w:val="ReportPara"/>
        <w:numPr>
          <w:ilvl w:val="0"/>
          <w:numId w:val="0"/>
        </w:numPr>
        <w:spacing w:after="0"/>
        <w:rPr>
          <w:rFonts w:eastAsiaTheme="minorHAnsi" w:cs="Arial"/>
          <w:szCs w:val="24"/>
        </w:rPr>
      </w:pPr>
    </w:p>
    <w:p w14:paraId="679646C1" w14:textId="77777777" w:rsidR="0062633F" w:rsidRPr="003048F2" w:rsidRDefault="0062633F" w:rsidP="00F8588E">
      <w:pPr>
        <w:pStyle w:val="ReportPara"/>
        <w:numPr>
          <w:ilvl w:val="0"/>
          <w:numId w:val="0"/>
        </w:numPr>
        <w:spacing w:after="0"/>
        <w:rPr>
          <w:rFonts w:eastAsiaTheme="minorHAnsi" w:cs="Arial"/>
          <w:szCs w:val="24"/>
        </w:rPr>
      </w:pPr>
    </w:p>
    <w:p w14:paraId="08714380" w14:textId="77777777" w:rsidR="00836FDD" w:rsidRDefault="00836FDD" w:rsidP="005573AC">
      <w:pPr>
        <w:pStyle w:val="Heading1"/>
        <w:numPr>
          <w:ilvl w:val="0"/>
          <w:numId w:val="9"/>
        </w:numPr>
        <w:spacing w:before="0" w:after="0"/>
        <w:ind w:left="450" w:hanging="450"/>
        <w:jc w:val="both"/>
        <w:rPr>
          <w:rFonts w:cs="Arial"/>
        </w:rPr>
      </w:pPr>
      <w:r w:rsidRPr="003048F2">
        <w:rPr>
          <w:rFonts w:cs="Arial"/>
        </w:rPr>
        <w:t>RISKS</w:t>
      </w:r>
    </w:p>
    <w:p w14:paraId="156F7B87" w14:textId="77777777" w:rsidR="00173EC1" w:rsidRPr="00173EC1" w:rsidRDefault="00173EC1" w:rsidP="00F8588E">
      <w:pPr>
        <w:pStyle w:val="ReportPara"/>
        <w:numPr>
          <w:ilvl w:val="0"/>
          <w:numId w:val="0"/>
        </w:numPr>
      </w:pPr>
    </w:p>
    <w:p w14:paraId="7C372FE8" w14:textId="0471E7CD" w:rsidR="00836FDD" w:rsidRDefault="003A0D8E" w:rsidP="00F8588E">
      <w:pPr>
        <w:pStyle w:val="ReportPara"/>
        <w:numPr>
          <w:ilvl w:val="0"/>
          <w:numId w:val="0"/>
        </w:numPr>
        <w:spacing w:after="0"/>
        <w:ind w:left="567" w:hanging="567"/>
        <w:jc w:val="both"/>
        <w:rPr>
          <w:rFonts w:cs="Arial"/>
          <w:szCs w:val="24"/>
        </w:rPr>
      </w:pPr>
      <w:r w:rsidRPr="003048F2">
        <w:rPr>
          <w:rFonts w:cs="Arial"/>
          <w:szCs w:val="24"/>
        </w:rPr>
        <w:t xml:space="preserve">6.1 </w:t>
      </w:r>
      <w:r w:rsidR="00F8588E">
        <w:rPr>
          <w:rFonts w:cs="Arial"/>
          <w:szCs w:val="24"/>
        </w:rPr>
        <w:tab/>
      </w:r>
      <w:r w:rsidR="00610FE4" w:rsidRPr="003048F2">
        <w:rPr>
          <w:rFonts w:cs="Arial"/>
          <w:szCs w:val="24"/>
        </w:rPr>
        <w:t xml:space="preserve">If the Deal is not agreed by the Oxfordshire Partners the opportunity to secure £215 million investment in infrastructure and affordable housing to benefit Oxfordshire’s communities will be forgone. </w:t>
      </w:r>
      <w:r w:rsidR="003323C6" w:rsidRPr="003048F2">
        <w:rPr>
          <w:rFonts w:cs="Arial"/>
          <w:szCs w:val="24"/>
        </w:rPr>
        <w:t>The protection offered by the bespoke planning freedoms will not be available.</w:t>
      </w:r>
      <w:r w:rsidR="00610FE4" w:rsidRPr="003048F2">
        <w:rPr>
          <w:rFonts w:cs="Arial"/>
          <w:szCs w:val="24"/>
        </w:rPr>
        <w:t xml:space="preserve"> In addition, not agreeing the deal may have a negative impact on future prospects of securing funding from Government</w:t>
      </w:r>
      <w:r w:rsidR="00124AE4" w:rsidRPr="003048F2">
        <w:rPr>
          <w:rFonts w:cs="Arial"/>
          <w:szCs w:val="24"/>
        </w:rPr>
        <w:t>.</w:t>
      </w:r>
    </w:p>
    <w:p w14:paraId="001339A2" w14:textId="77777777" w:rsidR="001042B8" w:rsidRDefault="001042B8" w:rsidP="00F8588E">
      <w:pPr>
        <w:pStyle w:val="ReportPara"/>
        <w:numPr>
          <w:ilvl w:val="0"/>
          <w:numId w:val="0"/>
        </w:numPr>
        <w:spacing w:after="0"/>
        <w:ind w:left="567" w:hanging="567"/>
        <w:jc w:val="both"/>
        <w:rPr>
          <w:rFonts w:cs="Arial"/>
          <w:szCs w:val="24"/>
        </w:rPr>
      </w:pPr>
    </w:p>
    <w:p w14:paraId="241B85CB" w14:textId="20D6608B" w:rsidR="001042B8" w:rsidRDefault="001042B8" w:rsidP="00F8588E">
      <w:pPr>
        <w:pStyle w:val="ReportPara"/>
        <w:numPr>
          <w:ilvl w:val="0"/>
          <w:numId w:val="0"/>
        </w:numPr>
        <w:spacing w:after="0"/>
        <w:ind w:left="567" w:hanging="567"/>
        <w:jc w:val="both"/>
        <w:rPr>
          <w:rFonts w:cs="Arial"/>
          <w:szCs w:val="24"/>
        </w:rPr>
      </w:pPr>
      <w:r>
        <w:rPr>
          <w:rFonts w:cs="Arial"/>
          <w:szCs w:val="24"/>
        </w:rPr>
        <w:t xml:space="preserve">6.2 </w:t>
      </w:r>
      <w:r w:rsidR="00F8588E">
        <w:rPr>
          <w:rFonts w:cs="Arial"/>
          <w:szCs w:val="24"/>
        </w:rPr>
        <w:tab/>
      </w:r>
      <w:r>
        <w:rPr>
          <w:rFonts w:cs="Arial"/>
          <w:szCs w:val="24"/>
        </w:rPr>
        <w:t xml:space="preserve">If the </w:t>
      </w:r>
      <w:r w:rsidR="005D2D6A">
        <w:rPr>
          <w:rFonts w:cs="Arial"/>
          <w:szCs w:val="24"/>
        </w:rPr>
        <w:t>G</w:t>
      </w:r>
      <w:r>
        <w:rPr>
          <w:rFonts w:cs="Arial"/>
          <w:szCs w:val="24"/>
        </w:rPr>
        <w:t>overnment commitments to the planning freedoms and flexibilities are not delivered, or achieved according to the milestones, this presents a risk to achieving the JSSP milestones and potentially the continuation of the JSSP project</w:t>
      </w:r>
      <w:r w:rsidR="00B144B0">
        <w:rPr>
          <w:rFonts w:cs="Arial"/>
          <w:szCs w:val="24"/>
        </w:rPr>
        <w:t xml:space="preserve"> and the deal</w:t>
      </w:r>
      <w:r>
        <w:rPr>
          <w:rFonts w:cs="Arial"/>
          <w:szCs w:val="24"/>
        </w:rPr>
        <w:t>. The D</w:t>
      </w:r>
      <w:r w:rsidR="005D2D6A">
        <w:rPr>
          <w:rFonts w:cs="Arial"/>
          <w:szCs w:val="24"/>
        </w:rPr>
        <w:t xml:space="preserve">elivery </w:t>
      </w:r>
      <w:r>
        <w:rPr>
          <w:rFonts w:cs="Arial"/>
          <w:szCs w:val="24"/>
        </w:rPr>
        <w:t>P</w:t>
      </w:r>
      <w:r w:rsidR="005D2D6A">
        <w:rPr>
          <w:rFonts w:cs="Arial"/>
          <w:szCs w:val="24"/>
        </w:rPr>
        <w:t xml:space="preserve">lan </w:t>
      </w:r>
      <w:r>
        <w:rPr>
          <w:rFonts w:cs="Arial"/>
          <w:szCs w:val="24"/>
        </w:rPr>
        <w:t xml:space="preserve">clarifies that this will not result in clawback of the funding under the </w:t>
      </w:r>
      <w:r w:rsidR="005D2D6A">
        <w:rPr>
          <w:rFonts w:cs="Arial"/>
          <w:szCs w:val="24"/>
        </w:rPr>
        <w:t>D</w:t>
      </w:r>
      <w:r>
        <w:rPr>
          <w:rFonts w:cs="Arial"/>
          <w:szCs w:val="24"/>
        </w:rPr>
        <w:t>eal.</w:t>
      </w:r>
    </w:p>
    <w:p w14:paraId="4ABF2CD1" w14:textId="77777777" w:rsidR="005573AC" w:rsidRDefault="005573AC" w:rsidP="00F8588E">
      <w:pPr>
        <w:pStyle w:val="ReportPara"/>
        <w:numPr>
          <w:ilvl w:val="0"/>
          <w:numId w:val="0"/>
        </w:numPr>
        <w:spacing w:after="0"/>
        <w:ind w:left="567" w:hanging="567"/>
        <w:jc w:val="both"/>
        <w:rPr>
          <w:rFonts w:cs="Arial"/>
          <w:szCs w:val="24"/>
        </w:rPr>
      </w:pPr>
    </w:p>
    <w:p w14:paraId="4933E934" w14:textId="5B426965" w:rsidR="001042B8" w:rsidRDefault="001042B8" w:rsidP="00F8588E">
      <w:pPr>
        <w:pStyle w:val="ReportPara"/>
        <w:numPr>
          <w:ilvl w:val="0"/>
          <w:numId w:val="0"/>
        </w:numPr>
        <w:spacing w:after="0"/>
        <w:ind w:left="567" w:hanging="567"/>
        <w:jc w:val="both"/>
        <w:rPr>
          <w:rFonts w:cs="Arial"/>
          <w:szCs w:val="24"/>
        </w:rPr>
      </w:pPr>
      <w:r>
        <w:rPr>
          <w:rFonts w:cs="Arial"/>
          <w:szCs w:val="24"/>
        </w:rPr>
        <w:t xml:space="preserve">6.3 </w:t>
      </w:r>
      <w:r w:rsidR="00F8588E">
        <w:rPr>
          <w:rFonts w:cs="Arial"/>
          <w:szCs w:val="24"/>
        </w:rPr>
        <w:tab/>
      </w:r>
      <w:r>
        <w:rPr>
          <w:rFonts w:cs="Arial"/>
          <w:szCs w:val="24"/>
        </w:rPr>
        <w:t>There is a risk that changes to national policy, including national planning pol</w:t>
      </w:r>
      <w:r w:rsidR="00F95721">
        <w:rPr>
          <w:rFonts w:cs="Arial"/>
          <w:szCs w:val="24"/>
        </w:rPr>
        <w:t>icy causes Local Authorities to amend approach to local plans.</w:t>
      </w:r>
    </w:p>
    <w:p w14:paraId="4090EB30" w14:textId="77777777" w:rsidR="00173EC1" w:rsidRPr="003048F2" w:rsidRDefault="00173EC1" w:rsidP="00F8588E">
      <w:pPr>
        <w:pStyle w:val="ReportPara"/>
        <w:numPr>
          <w:ilvl w:val="0"/>
          <w:numId w:val="0"/>
        </w:numPr>
        <w:spacing w:after="0"/>
        <w:ind w:left="567" w:hanging="567"/>
        <w:jc w:val="both"/>
        <w:rPr>
          <w:rFonts w:cs="Arial"/>
          <w:szCs w:val="24"/>
        </w:rPr>
      </w:pPr>
    </w:p>
    <w:p w14:paraId="2AF05BFF" w14:textId="77777777" w:rsidR="00F8588E" w:rsidRDefault="00124AE4" w:rsidP="00F8588E">
      <w:pPr>
        <w:pStyle w:val="ReportPara"/>
        <w:numPr>
          <w:ilvl w:val="0"/>
          <w:numId w:val="0"/>
        </w:numPr>
        <w:spacing w:after="0"/>
        <w:ind w:left="567" w:hanging="567"/>
        <w:jc w:val="both"/>
        <w:rPr>
          <w:rFonts w:cs="Arial"/>
          <w:color w:val="000000" w:themeColor="text1"/>
          <w:szCs w:val="24"/>
          <w:lang w:val="en-US"/>
        </w:rPr>
      </w:pPr>
      <w:r w:rsidRPr="003048F2">
        <w:rPr>
          <w:rFonts w:cs="Arial"/>
          <w:color w:val="000000" w:themeColor="text1"/>
          <w:szCs w:val="24"/>
          <w:lang w:val="en-US"/>
        </w:rPr>
        <w:t>6.</w:t>
      </w:r>
      <w:r w:rsidR="00173EC1">
        <w:rPr>
          <w:rFonts w:cs="Arial"/>
          <w:color w:val="000000" w:themeColor="text1"/>
          <w:szCs w:val="24"/>
          <w:lang w:val="en-US"/>
        </w:rPr>
        <w:t>4</w:t>
      </w:r>
      <w:r w:rsidRPr="003048F2">
        <w:rPr>
          <w:rFonts w:cs="Arial"/>
          <w:color w:val="000000" w:themeColor="text1"/>
          <w:szCs w:val="24"/>
          <w:lang w:val="en-US"/>
        </w:rPr>
        <w:t xml:space="preserve"> </w:t>
      </w:r>
      <w:r w:rsidR="00F8588E">
        <w:rPr>
          <w:rFonts w:cs="Arial"/>
          <w:color w:val="000000" w:themeColor="text1"/>
          <w:szCs w:val="24"/>
          <w:lang w:val="en-US"/>
        </w:rPr>
        <w:tab/>
      </w:r>
      <w:r w:rsidRPr="003048F2">
        <w:rPr>
          <w:rFonts w:cs="Arial"/>
          <w:color w:val="000000" w:themeColor="text1"/>
          <w:szCs w:val="24"/>
          <w:lang w:val="en-US"/>
        </w:rPr>
        <w:t xml:space="preserve">A strategic risk register will be prepared for the overall Growth Deal </w:t>
      </w:r>
      <w:proofErr w:type="spellStart"/>
      <w:r w:rsidRPr="003048F2">
        <w:rPr>
          <w:rFonts w:cs="Arial"/>
          <w:color w:val="000000" w:themeColor="text1"/>
          <w:szCs w:val="24"/>
          <w:lang w:val="en-US"/>
        </w:rPr>
        <w:t>Programme</w:t>
      </w:r>
      <w:proofErr w:type="spellEnd"/>
      <w:r w:rsidRPr="003048F2">
        <w:rPr>
          <w:rFonts w:cs="Arial"/>
          <w:color w:val="000000" w:themeColor="text1"/>
          <w:szCs w:val="24"/>
          <w:lang w:val="en-US"/>
        </w:rPr>
        <w:t>. Separate risk registers will also be put in place and maintained for each work</w:t>
      </w:r>
      <w:r w:rsidR="003F3DC5">
        <w:rPr>
          <w:rFonts w:cs="Arial"/>
          <w:color w:val="000000" w:themeColor="text1"/>
          <w:szCs w:val="24"/>
          <w:lang w:val="en-US"/>
        </w:rPr>
        <w:t xml:space="preserve"> </w:t>
      </w:r>
      <w:r w:rsidRPr="003048F2">
        <w:rPr>
          <w:rFonts w:cs="Arial"/>
          <w:color w:val="000000" w:themeColor="text1"/>
          <w:szCs w:val="24"/>
          <w:lang w:val="en-US"/>
        </w:rPr>
        <w:t xml:space="preserve">stream. Risk registers will be updated monthly. Reporting on performance and risks will be by agreed exception to the Oxfordshire </w:t>
      </w:r>
      <w:r w:rsidR="005D2D6A">
        <w:rPr>
          <w:rFonts w:cs="Arial"/>
          <w:color w:val="000000" w:themeColor="text1"/>
          <w:szCs w:val="24"/>
          <w:lang w:val="en-US"/>
        </w:rPr>
        <w:t xml:space="preserve">Growth Board </w:t>
      </w:r>
      <w:r w:rsidRPr="003048F2">
        <w:rPr>
          <w:rFonts w:cs="Arial"/>
          <w:color w:val="000000" w:themeColor="text1"/>
          <w:szCs w:val="24"/>
          <w:lang w:val="en-US"/>
        </w:rPr>
        <w:t>Executive Officer Group and the Growth Board on not less than a quarterly basis.</w:t>
      </w:r>
    </w:p>
    <w:p w14:paraId="1CB0C280" w14:textId="77777777" w:rsidR="00F8588E" w:rsidRDefault="00F8588E" w:rsidP="00F8588E">
      <w:pPr>
        <w:pStyle w:val="ReportPara"/>
        <w:numPr>
          <w:ilvl w:val="0"/>
          <w:numId w:val="0"/>
        </w:numPr>
        <w:spacing w:after="0"/>
        <w:ind w:left="567" w:hanging="567"/>
        <w:jc w:val="both"/>
        <w:rPr>
          <w:rFonts w:cs="Arial"/>
          <w:color w:val="000000" w:themeColor="text1"/>
          <w:szCs w:val="24"/>
          <w:lang w:val="en-US"/>
        </w:rPr>
      </w:pPr>
    </w:p>
    <w:p w14:paraId="716FD128" w14:textId="2C728994" w:rsidR="00961513" w:rsidRPr="00F8588E" w:rsidRDefault="003D32FA" w:rsidP="00F8588E">
      <w:pPr>
        <w:pStyle w:val="ReportPara"/>
        <w:numPr>
          <w:ilvl w:val="0"/>
          <w:numId w:val="0"/>
        </w:numPr>
        <w:spacing w:after="0"/>
        <w:ind w:left="567" w:hanging="567"/>
        <w:jc w:val="both"/>
        <w:rPr>
          <w:rFonts w:cs="Arial"/>
          <w:color w:val="000000" w:themeColor="text1"/>
          <w:szCs w:val="24"/>
          <w:lang w:val="en-US"/>
        </w:rPr>
      </w:pPr>
      <w:r w:rsidRPr="00CA5D49">
        <w:rPr>
          <w:rFonts w:cs="Arial"/>
          <w:color w:val="000000" w:themeColor="text1"/>
          <w:lang w:val="en-US"/>
        </w:rPr>
        <w:t>6.</w:t>
      </w:r>
      <w:r w:rsidR="00173EC1">
        <w:rPr>
          <w:rFonts w:cs="Arial"/>
          <w:color w:val="000000" w:themeColor="text1"/>
          <w:lang w:val="en-US"/>
        </w:rPr>
        <w:t>5</w:t>
      </w:r>
      <w:r w:rsidRPr="00CA5D49">
        <w:rPr>
          <w:rFonts w:cs="Arial"/>
          <w:color w:val="000000" w:themeColor="text1"/>
          <w:lang w:val="en-US"/>
        </w:rPr>
        <w:t>.</w:t>
      </w:r>
      <w:r>
        <w:rPr>
          <w:rFonts w:cs="Arial"/>
          <w:color w:val="000000" w:themeColor="text1"/>
          <w:lang w:val="en-US"/>
        </w:rPr>
        <w:t xml:space="preserve"> </w:t>
      </w:r>
      <w:r w:rsidR="00F8588E">
        <w:rPr>
          <w:rFonts w:cs="Arial"/>
          <w:color w:val="000000" w:themeColor="text1"/>
          <w:lang w:val="en-US"/>
        </w:rPr>
        <w:tab/>
      </w:r>
      <w:r w:rsidR="00173EC1">
        <w:rPr>
          <w:rFonts w:cs="Arial"/>
          <w:lang w:val="en-US"/>
        </w:rPr>
        <w:t>A M</w:t>
      </w:r>
      <w:r w:rsidR="00961513" w:rsidRPr="00CA5D49">
        <w:rPr>
          <w:rFonts w:cs="Arial"/>
          <w:lang w:val="en-US"/>
        </w:rPr>
        <w:t xml:space="preserve">emorandum of </w:t>
      </w:r>
      <w:r w:rsidR="00173EC1">
        <w:rPr>
          <w:rFonts w:cs="Arial"/>
          <w:lang w:val="en-US"/>
        </w:rPr>
        <w:t>U</w:t>
      </w:r>
      <w:r w:rsidR="00961513" w:rsidRPr="00CA5D49">
        <w:rPr>
          <w:rFonts w:cs="Arial"/>
          <w:lang w:val="en-US"/>
        </w:rPr>
        <w:t xml:space="preserve">nderstanding will be developed by the authorities participating in the Deal to set out arrangements and responsibilities between the authorities to manage financial risks in the event that one or more partners withdraw from the Deal; or targets are not achieved </w:t>
      </w:r>
      <w:r w:rsidR="00961513" w:rsidRPr="00CA5D49">
        <w:rPr>
          <w:rFonts w:cs="Arial"/>
        </w:rPr>
        <w:t>potentially resulting in future payments withheld or in the worst case scenario, funding is clawed back</w:t>
      </w:r>
      <w:r w:rsidR="00B144B0">
        <w:rPr>
          <w:rFonts w:cs="Arial"/>
        </w:rPr>
        <w:t xml:space="preserve"> (which would only be in the event that funding allocations are not spent </w:t>
      </w:r>
      <w:r w:rsidR="0062633F">
        <w:rPr>
          <w:rFonts w:cs="Arial"/>
        </w:rPr>
        <w:t xml:space="preserve">or of financial </w:t>
      </w:r>
      <w:proofErr w:type="spellStart"/>
      <w:r w:rsidR="0062633F">
        <w:rPr>
          <w:rFonts w:cs="Arial"/>
        </w:rPr>
        <w:t>mis</w:t>
      </w:r>
      <w:proofErr w:type="spellEnd"/>
      <w:r w:rsidR="0062633F">
        <w:rPr>
          <w:rFonts w:cs="Arial"/>
        </w:rPr>
        <w:t>-management)</w:t>
      </w:r>
      <w:r w:rsidR="00961513" w:rsidRPr="00CA5D49">
        <w:rPr>
          <w:rFonts w:cs="Arial"/>
        </w:rPr>
        <w:t>. A dispute resolution process will also be set out. This agreement will be in place by 31 March 2018 before the first tranche of funding for infrastructure and affordable housing programmes are received.</w:t>
      </w:r>
    </w:p>
    <w:p w14:paraId="05F48A97" w14:textId="54E85E20" w:rsidR="003D32FA" w:rsidRDefault="003D32FA" w:rsidP="003048F2">
      <w:pPr>
        <w:pStyle w:val="ReportPara"/>
        <w:numPr>
          <w:ilvl w:val="0"/>
          <w:numId w:val="0"/>
        </w:numPr>
        <w:spacing w:after="0"/>
        <w:ind w:left="851" w:hanging="401"/>
        <w:jc w:val="both"/>
        <w:rPr>
          <w:rFonts w:cs="Arial"/>
          <w:color w:val="000000" w:themeColor="text1"/>
          <w:szCs w:val="24"/>
          <w:lang w:val="en-US"/>
        </w:rPr>
      </w:pPr>
    </w:p>
    <w:p w14:paraId="26A34EF0" w14:textId="77777777" w:rsidR="00215ADF" w:rsidRPr="003048F2" w:rsidRDefault="00215ADF" w:rsidP="007F6AFA">
      <w:pPr>
        <w:pStyle w:val="ReportPara"/>
        <w:numPr>
          <w:ilvl w:val="0"/>
          <w:numId w:val="0"/>
        </w:numPr>
        <w:spacing w:after="0"/>
        <w:jc w:val="both"/>
        <w:rPr>
          <w:rFonts w:cs="Arial"/>
          <w:szCs w:val="24"/>
        </w:rPr>
      </w:pPr>
      <w:bookmarkStart w:id="2" w:name="_GoBack"/>
      <w:bookmarkEnd w:id="2"/>
    </w:p>
    <w:p w14:paraId="19D9E6EA" w14:textId="57D6775A" w:rsidR="008B279A" w:rsidRPr="00173EC1" w:rsidRDefault="00173EC1" w:rsidP="0062633F">
      <w:pPr>
        <w:pStyle w:val="ReportPara"/>
        <w:numPr>
          <w:ilvl w:val="0"/>
          <w:numId w:val="9"/>
        </w:numPr>
        <w:spacing w:after="0"/>
        <w:jc w:val="both"/>
        <w:rPr>
          <w:rFonts w:cs="Arial"/>
          <w:b/>
          <w:szCs w:val="24"/>
        </w:rPr>
      </w:pPr>
      <w:r w:rsidRPr="00173EC1">
        <w:rPr>
          <w:rFonts w:cs="Arial"/>
          <w:b/>
          <w:szCs w:val="24"/>
        </w:rPr>
        <w:t>EQUALITIES IMPACT ASSESSMENT</w:t>
      </w:r>
    </w:p>
    <w:p w14:paraId="78F5D191" w14:textId="77777777" w:rsidR="00173EC1" w:rsidRDefault="00173EC1" w:rsidP="00173EC1">
      <w:pPr>
        <w:pStyle w:val="ReportPara"/>
        <w:numPr>
          <w:ilvl w:val="0"/>
          <w:numId w:val="0"/>
        </w:numPr>
        <w:spacing w:after="0"/>
        <w:ind w:left="465"/>
        <w:jc w:val="both"/>
        <w:rPr>
          <w:rFonts w:cs="Arial"/>
          <w:szCs w:val="24"/>
        </w:rPr>
      </w:pPr>
    </w:p>
    <w:p w14:paraId="6DE1FF6A" w14:textId="443AE58B" w:rsidR="00173EC1" w:rsidRDefault="00173EC1" w:rsidP="0062633F">
      <w:pPr>
        <w:pStyle w:val="ReportPara"/>
        <w:numPr>
          <w:ilvl w:val="0"/>
          <w:numId w:val="0"/>
        </w:numPr>
        <w:spacing w:after="0"/>
        <w:ind w:left="567" w:hanging="567"/>
        <w:jc w:val="both"/>
        <w:rPr>
          <w:rFonts w:cs="Arial"/>
          <w:szCs w:val="24"/>
        </w:rPr>
      </w:pPr>
      <w:r>
        <w:rPr>
          <w:rFonts w:cs="Arial"/>
          <w:szCs w:val="24"/>
        </w:rPr>
        <w:t xml:space="preserve">7.1 </w:t>
      </w:r>
      <w:r w:rsidR="00033ED4">
        <w:rPr>
          <w:rFonts w:cs="Arial"/>
          <w:szCs w:val="24"/>
        </w:rPr>
        <w:tab/>
      </w:r>
      <w:r>
        <w:rPr>
          <w:rFonts w:cs="Arial"/>
          <w:szCs w:val="24"/>
        </w:rPr>
        <w:t xml:space="preserve">An Equalities impact assessment for the Housing and Growth Deal is attached as an appendix to this report. The </w:t>
      </w:r>
      <w:proofErr w:type="spellStart"/>
      <w:r>
        <w:rPr>
          <w:rFonts w:cs="Arial"/>
          <w:szCs w:val="24"/>
        </w:rPr>
        <w:t>EqIA</w:t>
      </w:r>
      <w:proofErr w:type="spellEnd"/>
      <w:r>
        <w:rPr>
          <w:rFonts w:cs="Arial"/>
          <w:szCs w:val="24"/>
        </w:rPr>
        <w:t xml:space="preserve"> concludes that there are no significant equalities issues</w:t>
      </w:r>
      <w:r w:rsidR="0037773C">
        <w:rPr>
          <w:rFonts w:cs="Arial"/>
          <w:szCs w:val="24"/>
        </w:rPr>
        <w:t xml:space="preserve"> to be considered at this stage</w:t>
      </w:r>
      <w:r>
        <w:rPr>
          <w:rFonts w:cs="Arial"/>
          <w:szCs w:val="24"/>
        </w:rPr>
        <w:t xml:space="preserve"> but that the detailed work programmes that will be compiled to take the Deal forward will require </w:t>
      </w:r>
      <w:proofErr w:type="spellStart"/>
      <w:r>
        <w:rPr>
          <w:rFonts w:cs="Arial"/>
          <w:szCs w:val="24"/>
        </w:rPr>
        <w:t>EqI</w:t>
      </w:r>
      <w:r w:rsidR="005573AC">
        <w:rPr>
          <w:rFonts w:cs="Arial"/>
          <w:szCs w:val="24"/>
        </w:rPr>
        <w:t>A</w:t>
      </w:r>
      <w:proofErr w:type="spellEnd"/>
      <w:r>
        <w:rPr>
          <w:rFonts w:cs="Arial"/>
          <w:szCs w:val="24"/>
        </w:rPr>
        <w:t xml:space="preserve"> at</w:t>
      </w:r>
      <w:r w:rsidR="005573AC">
        <w:rPr>
          <w:rFonts w:cs="Arial"/>
          <w:szCs w:val="24"/>
        </w:rPr>
        <w:t xml:space="preserve"> </w:t>
      </w:r>
      <w:r>
        <w:rPr>
          <w:rFonts w:cs="Arial"/>
          <w:szCs w:val="24"/>
        </w:rPr>
        <w:t xml:space="preserve">a more </w:t>
      </w:r>
      <w:r w:rsidR="005573AC">
        <w:rPr>
          <w:rFonts w:cs="Arial"/>
          <w:szCs w:val="24"/>
        </w:rPr>
        <w:t>detailed</w:t>
      </w:r>
      <w:r>
        <w:rPr>
          <w:rFonts w:cs="Arial"/>
          <w:szCs w:val="24"/>
        </w:rPr>
        <w:t xml:space="preserve"> level to asse</w:t>
      </w:r>
      <w:r w:rsidR="00F8588E">
        <w:rPr>
          <w:rFonts w:cs="Arial"/>
          <w:szCs w:val="24"/>
        </w:rPr>
        <w:t>s</w:t>
      </w:r>
      <w:r>
        <w:rPr>
          <w:rFonts w:cs="Arial"/>
          <w:szCs w:val="24"/>
        </w:rPr>
        <w:t>s impacts</w:t>
      </w:r>
      <w:r w:rsidR="005573AC">
        <w:rPr>
          <w:rFonts w:cs="Arial"/>
          <w:szCs w:val="24"/>
        </w:rPr>
        <w:t>.</w:t>
      </w:r>
    </w:p>
    <w:p w14:paraId="7E94AB3B" w14:textId="77777777" w:rsidR="0031607E" w:rsidRDefault="0031607E" w:rsidP="003048F2">
      <w:pPr>
        <w:pStyle w:val="ReportPara"/>
        <w:numPr>
          <w:ilvl w:val="0"/>
          <w:numId w:val="0"/>
        </w:numPr>
        <w:spacing w:after="0"/>
        <w:ind w:left="360"/>
        <w:jc w:val="both"/>
        <w:rPr>
          <w:rFonts w:cs="Arial"/>
          <w:szCs w:val="24"/>
        </w:rPr>
      </w:pPr>
    </w:p>
    <w:p w14:paraId="2879E627" w14:textId="77777777" w:rsidR="0031607E" w:rsidRDefault="0031607E" w:rsidP="003048F2">
      <w:pPr>
        <w:pStyle w:val="ReportPara"/>
        <w:numPr>
          <w:ilvl w:val="0"/>
          <w:numId w:val="0"/>
        </w:numPr>
        <w:spacing w:after="0"/>
        <w:ind w:left="360"/>
        <w:jc w:val="both"/>
        <w:rPr>
          <w:rFonts w:cs="Arial"/>
          <w:szCs w:val="24"/>
        </w:rPr>
      </w:pPr>
    </w:p>
    <w:sectPr w:rsidR="0031607E" w:rsidSect="007F6AFA">
      <w:footerReference w:type="default" r:id="rId9"/>
      <w:headerReference w:type="first" r:id="rId10"/>
      <w:type w:val="continuous"/>
      <w:pgSz w:w="11907" w:h="16840" w:code="9"/>
      <w:pgMar w:top="1304" w:right="1304" w:bottom="1304" w:left="1304" w:header="578" w:footer="431"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0F6E68" w15:done="0"/>
  <w15:commentEx w15:paraId="7C83CE40" w15:done="0"/>
  <w15:commentEx w15:paraId="2279107B" w15:done="0"/>
  <w15:commentEx w15:paraId="6E138EFF" w15:done="0"/>
  <w15:commentEx w15:paraId="65F8414A" w15:done="0"/>
  <w15:commentEx w15:paraId="0D6F85A3" w15:done="0"/>
  <w15:commentEx w15:paraId="4573AF03" w15:done="0"/>
  <w15:commentEx w15:paraId="7ED51561" w15:done="0"/>
  <w15:commentEx w15:paraId="186FD2E9" w15:done="0"/>
  <w15:commentEx w15:paraId="1A3A7ADA" w15:done="0"/>
  <w15:commentEx w15:paraId="64EF0776" w15:done="0"/>
  <w15:commentEx w15:paraId="55E112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AFF59" w14:textId="77777777" w:rsidR="001762AE" w:rsidRDefault="001762AE">
      <w:r>
        <w:separator/>
      </w:r>
    </w:p>
  </w:endnote>
  <w:endnote w:type="continuationSeparator" w:id="0">
    <w:p w14:paraId="2F6252EE" w14:textId="77777777" w:rsidR="001762AE" w:rsidRDefault="0017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15410" w14:textId="630F21FD" w:rsidR="006C2B29" w:rsidRPr="000B0D2A" w:rsidRDefault="007F6AFA" w:rsidP="000B0D2A">
    <w:pPr>
      <w:pStyle w:val="Footer"/>
      <w:tabs>
        <w:tab w:val="left" w:pos="4111"/>
      </w:tabs>
      <w:rPr>
        <w:rFonts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A53E7" w14:textId="77777777" w:rsidR="001762AE" w:rsidRDefault="001762AE">
      <w:r>
        <w:separator/>
      </w:r>
    </w:p>
  </w:footnote>
  <w:footnote w:type="continuationSeparator" w:id="0">
    <w:p w14:paraId="02243999" w14:textId="77777777" w:rsidR="001762AE" w:rsidRDefault="00176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F1D1F" w14:textId="784F23C1" w:rsidR="006C2B29" w:rsidRDefault="00907BF9" w:rsidP="00907BF9">
    <w:pPr>
      <w:pStyle w:val="Header"/>
      <w:jc w:val="right"/>
    </w:pPr>
    <w:r>
      <w:rPr>
        <w:noProof/>
      </w:rPr>
      <w:drawing>
        <wp:inline distT="0" distB="0" distL="0" distR="0" wp14:anchorId="0F1B95AF" wp14:editId="304A03B6">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p w14:paraId="227D2C3E" w14:textId="77777777" w:rsidR="00907BF9" w:rsidRDefault="00907BF9" w:rsidP="00907BF9">
    <w:pPr>
      <w:pStyle w:val="Header"/>
      <w:jc w:val="right"/>
    </w:pPr>
  </w:p>
  <w:p w14:paraId="398EC91D" w14:textId="77777777" w:rsidR="007F6AFA" w:rsidRDefault="007F6AFA" w:rsidP="00907BF9">
    <w:pPr>
      <w:pStyle w:val="Header"/>
      <w:jc w:val="right"/>
    </w:pPr>
  </w:p>
  <w:p w14:paraId="35C63F3E" w14:textId="77777777" w:rsidR="007F6AFA" w:rsidRDefault="007F6AFA" w:rsidP="00907BF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4AB50B0"/>
    <w:multiLevelType w:val="multilevel"/>
    <w:tmpl w:val="61B8668A"/>
    <w:lvl w:ilvl="0">
      <w:start w:val="1"/>
      <w:numFmt w:val="decimal"/>
      <w:pStyle w:val="Heading1"/>
      <w:lvlText w:val="%1."/>
      <w:lvlJc w:val="left"/>
      <w:pPr>
        <w:tabs>
          <w:tab w:val="num" w:pos="360"/>
        </w:tabs>
        <w:ind w:left="360" w:hanging="360"/>
      </w:pPr>
      <w:rPr>
        <w:rFonts w:hint="default"/>
      </w:rPr>
    </w:lvl>
    <w:lvl w:ilvl="1">
      <w:start w:val="1"/>
      <w:numFmt w:val="decimal"/>
      <w:pStyle w:val="ReportPara"/>
      <w:lvlText w:val="%1.%2."/>
      <w:lvlJc w:val="left"/>
      <w:pPr>
        <w:tabs>
          <w:tab w:val="num" w:pos="1142"/>
        </w:tabs>
        <w:ind w:left="114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C897A05"/>
    <w:multiLevelType w:val="hybridMultilevel"/>
    <w:tmpl w:val="61A67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3BB044E"/>
    <w:multiLevelType w:val="hybridMultilevel"/>
    <w:tmpl w:val="B2F4F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243E30"/>
    <w:multiLevelType w:val="hybridMultilevel"/>
    <w:tmpl w:val="5C581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845FB7"/>
    <w:multiLevelType w:val="hybridMultilevel"/>
    <w:tmpl w:val="5D9ED69A"/>
    <w:lvl w:ilvl="0" w:tplc="08090003">
      <w:start w:val="1"/>
      <w:numFmt w:val="bullet"/>
      <w:lvlText w:val="o"/>
      <w:lvlJc w:val="left"/>
      <w:pPr>
        <w:ind w:left="754" w:hanging="360"/>
      </w:pPr>
      <w:rPr>
        <w:rFonts w:ascii="Courier New" w:hAnsi="Courier New" w:cs="Courier New" w:hint="default"/>
      </w:rPr>
    </w:lvl>
    <w:lvl w:ilvl="1" w:tplc="08090001">
      <w:start w:val="1"/>
      <w:numFmt w:val="bullet"/>
      <w:lvlText w:val=""/>
      <w:lvlJc w:val="left"/>
      <w:pPr>
        <w:ind w:left="1474" w:hanging="360"/>
      </w:pPr>
      <w:rPr>
        <w:rFonts w:ascii="Symbol" w:hAnsi="Symbol" w:hint="default"/>
      </w:r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7">
    <w:nsid w:val="37882264"/>
    <w:multiLevelType w:val="multilevel"/>
    <w:tmpl w:val="276E2260"/>
    <w:lvl w:ilvl="0">
      <w:start w:val="3"/>
      <w:numFmt w:val="decimal"/>
      <w:lvlText w:val="%1"/>
      <w:lvlJc w:val="left"/>
      <w:pPr>
        <w:ind w:left="465" w:hanging="465"/>
      </w:pPr>
      <w:rPr>
        <w:rFonts w:hint="default"/>
      </w:rPr>
    </w:lvl>
    <w:lvl w:ilvl="1">
      <w:start w:val="37"/>
      <w:numFmt w:val="decimal"/>
      <w:lvlText w:val="%1.%2"/>
      <w:lvlJc w:val="left"/>
      <w:pPr>
        <w:ind w:left="2064" w:hanging="465"/>
      </w:pPr>
      <w:rPr>
        <w:rFonts w:hint="default"/>
      </w:rPr>
    </w:lvl>
    <w:lvl w:ilvl="2">
      <w:start w:val="1"/>
      <w:numFmt w:val="decimal"/>
      <w:lvlText w:val="%1.%2.%3"/>
      <w:lvlJc w:val="left"/>
      <w:pPr>
        <w:ind w:left="3918" w:hanging="720"/>
      </w:pPr>
      <w:rPr>
        <w:rFonts w:hint="default"/>
      </w:rPr>
    </w:lvl>
    <w:lvl w:ilvl="3">
      <w:start w:val="1"/>
      <w:numFmt w:val="decimal"/>
      <w:lvlText w:val="%1.%2.%3.%4"/>
      <w:lvlJc w:val="left"/>
      <w:pPr>
        <w:ind w:left="5877" w:hanging="1080"/>
      </w:pPr>
      <w:rPr>
        <w:rFonts w:hint="default"/>
      </w:rPr>
    </w:lvl>
    <w:lvl w:ilvl="4">
      <w:start w:val="1"/>
      <w:numFmt w:val="decimal"/>
      <w:lvlText w:val="%1.%2.%3.%4.%5"/>
      <w:lvlJc w:val="left"/>
      <w:pPr>
        <w:ind w:left="7476" w:hanging="1080"/>
      </w:pPr>
      <w:rPr>
        <w:rFonts w:hint="default"/>
      </w:rPr>
    </w:lvl>
    <w:lvl w:ilvl="5">
      <w:start w:val="1"/>
      <w:numFmt w:val="decimal"/>
      <w:lvlText w:val="%1.%2.%3.%4.%5.%6"/>
      <w:lvlJc w:val="left"/>
      <w:pPr>
        <w:ind w:left="9435" w:hanging="1440"/>
      </w:pPr>
      <w:rPr>
        <w:rFonts w:hint="default"/>
      </w:rPr>
    </w:lvl>
    <w:lvl w:ilvl="6">
      <w:start w:val="1"/>
      <w:numFmt w:val="decimal"/>
      <w:lvlText w:val="%1.%2.%3.%4.%5.%6.%7"/>
      <w:lvlJc w:val="left"/>
      <w:pPr>
        <w:ind w:left="11034" w:hanging="1440"/>
      </w:pPr>
      <w:rPr>
        <w:rFonts w:hint="default"/>
      </w:rPr>
    </w:lvl>
    <w:lvl w:ilvl="7">
      <w:start w:val="1"/>
      <w:numFmt w:val="decimal"/>
      <w:lvlText w:val="%1.%2.%3.%4.%5.%6.%7.%8"/>
      <w:lvlJc w:val="left"/>
      <w:pPr>
        <w:ind w:left="12993" w:hanging="1800"/>
      </w:pPr>
      <w:rPr>
        <w:rFonts w:hint="default"/>
      </w:rPr>
    </w:lvl>
    <w:lvl w:ilvl="8">
      <w:start w:val="1"/>
      <w:numFmt w:val="decimal"/>
      <w:lvlText w:val="%1.%2.%3.%4.%5.%6.%7.%8.%9"/>
      <w:lvlJc w:val="left"/>
      <w:pPr>
        <w:ind w:left="14592" w:hanging="1800"/>
      </w:pPr>
      <w:rPr>
        <w:rFonts w:hint="default"/>
      </w:rPr>
    </w:lvl>
  </w:abstractNum>
  <w:abstractNum w:abstractNumId="8">
    <w:nsid w:val="3FD75B7C"/>
    <w:multiLevelType w:val="hybridMultilevel"/>
    <w:tmpl w:val="14E4B51E"/>
    <w:lvl w:ilvl="0" w:tplc="08090001">
      <w:start w:val="1"/>
      <w:numFmt w:val="bullet"/>
      <w:lvlText w:val=""/>
      <w:lvlJc w:val="left"/>
      <w:pPr>
        <w:ind w:left="1636" w:hanging="360"/>
      </w:pPr>
      <w:rPr>
        <w:rFonts w:ascii="Symbol" w:hAnsi="Symbol"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9">
    <w:nsid w:val="4AA5676D"/>
    <w:multiLevelType w:val="hybridMultilevel"/>
    <w:tmpl w:val="F6BAD8EE"/>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0">
    <w:nsid w:val="4F8B56C7"/>
    <w:multiLevelType w:val="hybridMultilevel"/>
    <w:tmpl w:val="A6EE69F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nsid w:val="51945C28"/>
    <w:multiLevelType w:val="multilevel"/>
    <w:tmpl w:val="57663656"/>
    <w:lvl w:ilvl="0">
      <w:start w:val="3"/>
      <w:numFmt w:val="decimal"/>
      <w:lvlText w:val="%1"/>
      <w:lvlJc w:val="left"/>
      <w:pPr>
        <w:ind w:left="465" w:hanging="465"/>
      </w:pPr>
      <w:rPr>
        <w:rFonts w:hint="default"/>
      </w:rPr>
    </w:lvl>
    <w:lvl w:ilvl="1">
      <w:start w:val="34"/>
      <w:numFmt w:val="decimal"/>
      <w:lvlText w:val="%1.%2"/>
      <w:lvlJc w:val="left"/>
      <w:pPr>
        <w:ind w:left="1599" w:hanging="46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2">
    <w:nsid w:val="521A70EB"/>
    <w:multiLevelType w:val="hybridMultilevel"/>
    <w:tmpl w:val="7AA44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547921"/>
    <w:multiLevelType w:val="multilevel"/>
    <w:tmpl w:val="6D188E12"/>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14">
    <w:nsid w:val="619F6496"/>
    <w:multiLevelType w:val="hybridMultilevel"/>
    <w:tmpl w:val="30BCE6B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D52CE0"/>
    <w:multiLevelType w:val="multilevel"/>
    <w:tmpl w:val="8BCA35A0"/>
    <w:lvl w:ilvl="0">
      <w:start w:val="3"/>
      <w:numFmt w:val="decimal"/>
      <w:lvlText w:val="%1"/>
      <w:lvlJc w:val="left"/>
      <w:pPr>
        <w:ind w:left="465" w:hanging="465"/>
      </w:pPr>
      <w:rPr>
        <w:rFonts w:hint="default"/>
      </w:rPr>
    </w:lvl>
    <w:lvl w:ilvl="1">
      <w:start w:val="28"/>
      <w:numFmt w:val="decimal"/>
      <w:lvlText w:val="%1.%2"/>
      <w:lvlJc w:val="left"/>
      <w:pPr>
        <w:ind w:left="1458" w:hanging="465"/>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506" w:hanging="108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7150" w:hanging="144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794" w:hanging="1800"/>
      </w:pPr>
      <w:rPr>
        <w:rFonts w:hint="default"/>
      </w:rPr>
    </w:lvl>
    <w:lvl w:ilvl="8">
      <w:start w:val="1"/>
      <w:numFmt w:val="decimal"/>
      <w:lvlText w:val="%1.%2.%3.%4.%5.%6.%7.%8.%9"/>
      <w:lvlJc w:val="left"/>
      <w:pPr>
        <w:ind w:left="10936" w:hanging="1800"/>
      </w:pPr>
      <w:rPr>
        <w:rFonts w:hint="default"/>
      </w:rPr>
    </w:lvl>
  </w:abstractNum>
  <w:abstractNum w:abstractNumId="16">
    <w:nsid w:val="798365C6"/>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10"/>
  </w:num>
  <w:num w:numId="3">
    <w:abstractNumId w:val="13"/>
  </w:num>
  <w:num w:numId="4">
    <w:abstractNumId w:val="4"/>
  </w:num>
  <w:num w:numId="5">
    <w:abstractNumId w:val="5"/>
  </w:num>
  <w:num w:numId="6">
    <w:abstractNumId w:val="12"/>
  </w:num>
  <w:num w:numId="7">
    <w:abstractNumId w:val="15"/>
  </w:num>
  <w:num w:numId="8">
    <w:abstractNumId w:val="11"/>
  </w:num>
  <w:num w:numId="9">
    <w:abstractNumId w:val="7"/>
  </w:num>
  <w:num w:numId="10">
    <w:abstractNumId w:val="2"/>
  </w:num>
  <w:num w:numId="11">
    <w:abstractNumId w:val="8"/>
  </w:num>
  <w:num w:numId="12">
    <w:abstractNumId w:val="14"/>
  </w:num>
  <w:num w:numId="13">
    <w:abstractNumId w:val="9"/>
  </w:num>
  <w:num w:numId="14">
    <w:abstractNumId w:val="0"/>
  </w:num>
  <w:num w:numId="15">
    <w:abstractNumId w:val="16"/>
  </w:num>
  <w:num w:numId="16">
    <w:abstractNumId w:val="3"/>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Down">
    <w15:presenceInfo w15:providerId="AD" w15:userId="S-1-5-21-976590890-3550147883-1238988091-1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FD"/>
    <w:rsid w:val="000004AD"/>
    <w:rsid w:val="000017AD"/>
    <w:rsid w:val="0000199D"/>
    <w:rsid w:val="00006DC2"/>
    <w:rsid w:val="0001201D"/>
    <w:rsid w:val="00013999"/>
    <w:rsid w:val="000171C2"/>
    <w:rsid w:val="000206AB"/>
    <w:rsid w:val="00022004"/>
    <w:rsid w:val="00022E05"/>
    <w:rsid w:val="00024EB8"/>
    <w:rsid w:val="00027DB4"/>
    <w:rsid w:val="00031DE8"/>
    <w:rsid w:val="000323C0"/>
    <w:rsid w:val="0003289B"/>
    <w:rsid w:val="00033ED4"/>
    <w:rsid w:val="0003446B"/>
    <w:rsid w:val="0003463D"/>
    <w:rsid w:val="0003751D"/>
    <w:rsid w:val="000379EA"/>
    <w:rsid w:val="0004049E"/>
    <w:rsid w:val="00040A80"/>
    <w:rsid w:val="00043715"/>
    <w:rsid w:val="00043786"/>
    <w:rsid w:val="00050870"/>
    <w:rsid w:val="00051C1A"/>
    <w:rsid w:val="0005200C"/>
    <w:rsid w:val="00052957"/>
    <w:rsid w:val="00053045"/>
    <w:rsid w:val="000557EF"/>
    <w:rsid w:val="000560C2"/>
    <w:rsid w:val="00060DFF"/>
    <w:rsid w:val="00060FCA"/>
    <w:rsid w:val="0006113E"/>
    <w:rsid w:val="00061819"/>
    <w:rsid w:val="00063A3A"/>
    <w:rsid w:val="00065172"/>
    <w:rsid w:val="00066149"/>
    <w:rsid w:val="00066853"/>
    <w:rsid w:val="000677E9"/>
    <w:rsid w:val="00071229"/>
    <w:rsid w:val="00071C2B"/>
    <w:rsid w:val="00071EA5"/>
    <w:rsid w:val="00074000"/>
    <w:rsid w:val="00074125"/>
    <w:rsid w:val="00076F72"/>
    <w:rsid w:val="00077783"/>
    <w:rsid w:val="00081C25"/>
    <w:rsid w:val="00081F66"/>
    <w:rsid w:val="000831D2"/>
    <w:rsid w:val="00085460"/>
    <w:rsid w:val="00087788"/>
    <w:rsid w:val="00090C0C"/>
    <w:rsid w:val="00093E3B"/>
    <w:rsid w:val="00094547"/>
    <w:rsid w:val="00096A3D"/>
    <w:rsid w:val="000A0797"/>
    <w:rsid w:val="000A0809"/>
    <w:rsid w:val="000A33F9"/>
    <w:rsid w:val="000A3F24"/>
    <w:rsid w:val="000A40A9"/>
    <w:rsid w:val="000A5721"/>
    <w:rsid w:val="000A64AD"/>
    <w:rsid w:val="000A780A"/>
    <w:rsid w:val="000A7962"/>
    <w:rsid w:val="000B3230"/>
    <w:rsid w:val="000B65C7"/>
    <w:rsid w:val="000C1301"/>
    <w:rsid w:val="000C1438"/>
    <w:rsid w:val="000C2506"/>
    <w:rsid w:val="000C5826"/>
    <w:rsid w:val="000C7782"/>
    <w:rsid w:val="000C7A73"/>
    <w:rsid w:val="000D1B86"/>
    <w:rsid w:val="000D2B15"/>
    <w:rsid w:val="000D3C79"/>
    <w:rsid w:val="000D5B5E"/>
    <w:rsid w:val="000D7B63"/>
    <w:rsid w:val="000E152E"/>
    <w:rsid w:val="000E19C9"/>
    <w:rsid w:val="000E2523"/>
    <w:rsid w:val="000E4FBD"/>
    <w:rsid w:val="000E54C6"/>
    <w:rsid w:val="000E56F8"/>
    <w:rsid w:val="000E6911"/>
    <w:rsid w:val="000E7420"/>
    <w:rsid w:val="000F0461"/>
    <w:rsid w:val="000F0758"/>
    <w:rsid w:val="000F0E18"/>
    <w:rsid w:val="000F197E"/>
    <w:rsid w:val="000F1EA4"/>
    <w:rsid w:val="000F2652"/>
    <w:rsid w:val="000F3E96"/>
    <w:rsid w:val="000F5DF4"/>
    <w:rsid w:val="000F6BAE"/>
    <w:rsid w:val="0010008D"/>
    <w:rsid w:val="00100335"/>
    <w:rsid w:val="0010108D"/>
    <w:rsid w:val="001042B8"/>
    <w:rsid w:val="001044D4"/>
    <w:rsid w:val="00105133"/>
    <w:rsid w:val="00106863"/>
    <w:rsid w:val="00107DF9"/>
    <w:rsid w:val="00110154"/>
    <w:rsid w:val="00110A28"/>
    <w:rsid w:val="0011123A"/>
    <w:rsid w:val="00114056"/>
    <w:rsid w:val="0011799B"/>
    <w:rsid w:val="00124AE4"/>
    <w:rsid w:val="001257DE"/>
    <w:rsid w:val="00130606"/>
    <w:rsid w:val="001329AF"/>
    <w:rsid w:val="00133E28"/>
    <w:rsid w:val="00135B67"/>
    <w:rsid w:val="00136B68"/>
    <w:rsid w:val="00140AE6"/>
    <w:rsid w:val="00141F15"/>
    <w:rsid w:val="001443F3"/>
    <w:rsid w:val="00146FEF"/>
    <w:rsid w:val="00150267"/>
    <w:rsid w:val="00150F22"/>
    <w:rsid w:val="00152161"/>
    <w:rsid w:val="00152D91"/>
    <w:rsid w:val="001533F2"/>
    <w:rsid w:val="0015445F"/>
    <w:rsid w:val="0015478B"/>
    <w:rsid w:val="00155A41"/>
    <w:rsid w:val="00157FA5"/>
    <w:rsid w:val="00160764"/>
    <w:rsid w:val="00162524"/>
    <w:rsid w:val="001627D3"/>
    <w:rsid w:val="00167D4A"/>
    <w:rsid w:val="00170055"/>
    <w:rsid w:val="00170817"/>
    <w:rsid w:val="00171F0D"/>
    <w:rsid w:val="00173A72"/>
    <w:rsid w:val="00173EC1"/>
    <w:rsid w:val="001762AE"/>
    <w:rsid w:val="0018023D"/>
    <w:rsid w:val="00180546"/>
    <w:rsid w:val="00181A10"/>
    <w:rsid w:val="001830CC"/>
    <w:rsid w:val="001847D6"/>
    <w:rsid w:val="0018721D"/>
    <w:rsid w:val="0018789D"/>
    <w:rsid w:val="00190572"/>
    <w:rsid w:val="00190926"/>
    <w:rsid w:val="001956BF"/>
    <w:rsid w:val="00196C8A"/>
    <w:rsid w:val="00197CE5"/>
    <w:rsid w:val="001A2995"/>
    <w:rsid w:val="001A2F86"/>
    <w:rsid w:val="001A3F5A"/>
    <w:rsid w:val="001A4A1B"/>
    <w:rsid w:val="001A5E0E"/>
    <w:rsid w:val="001A64BB"/>
    <w:rsid w:val="001A7ABA"/>
    <w:rsid w:val="001B0599"/>
    <w:rsid w:val="001B25C4"/>
    <w:rsid w:val="001C2FDB"/>
    <w:rsid w:val="001C3C71"/>
    <w:rsid w:val="001C7141"/>
    <w:rsid w:val="001D024A"/>
    <w:rsid w:val="001D41F5"/>
    <w:rsid w:val="001D4AA6"/>
    <w:rsid w:val="001D4E81"/>
    <w:rsid w:val="001D4FAE"/>
    <w:rsid w:val="001E0136"/>
    <w:rsid w:val="001E0EE8"/>
    <w:rsid w:val="001E251E"/>
    <w:rsid w:val="001E2843"/>
    <w:rsid w:val="001E58A1"/>
    <w:rsid w:val="001E5CFE"/>
    <w:rsid w:val="001E782D"/>
    <w:rsid w:val="001E7C58"/>
    <w:rsid w:val="001F2629"/>
    <w:rsid w:val="001F618E"/>
    <w:rsid w:val="001F7133"/>
    <w:rsid w:val="001F728B"/>
    <w:rsid w:val="001F7975"/>
    <w:rsid w:val="002000C7"/>
    <w:rsid w:val="00200D36"/>
    <w:rsid w:val="00200E98"/>
    <w:rsid w:val="00201501"/>
    <w:rsid w:val="0020292F"/>
    <w:rsid w:val="00205EAC"/>
    <w:rsid w:val="00206E08"/>
    <w:rsid w:val="00215A3E"/>
    <w:rsid w:val="00215ADF"/>
    <w:rsid w:val="002217D8"/>
    <w:rsid w:val="00223231"/>
    <w:rsid w:val="00225655"/>
    <w:rsid w:val="00227412"/>
    <w:rsid w:val="00231F3E"/>
    <w:rsid w:val="00235BD4"/>
    <w:rsid w:val="0024300F"/>
    <w:rsid w:val="00243A83"/>
    <w:rsid w:val="0024477C"/>
    <w:rsid w:val="00245C08"/>
    <w:rsid w:val="0024612D"/>
    <w:rsid w:val="002528D4"/>
    <w:rsid w:val="00252C39"/>
    <w:rsid w:val="002542E8"/>
    <w:rsid w:val="0025465A"/>
    <w:rsid w:val="00255D51"/>
    <w:rsid w:val="00256746"/>
    <w:rsid w:val="00260499"/>
    <w:rsid w:val="00260C19"/>
    <w:rsid w:val="00262677"/>
    <w:rsid w:val="002646A4"/>
    <w:rsid w:val="00264D17"/>
    <w:rsid w:val="002659D1"/>
    <w:rsid w:val="00265AE5"/>
    <w:rsid w:val="00265C73"/>
    <w:rsid w:val="002668B9"/>
    <w:rsid w:val="002810CA"/>
    <w:rsid w:val="00282051"/>
    <w:rsid w:val="00284B97"/>
    <w:rsid w:val="00285E52"/>
    <w:rsid w:val="002862BC"/>
    <w:rsid w:val="002863D0"/>
    <w:rsid w:val="00293DA6"/>
    <w:rsid w:val="002940D6"/>
    <w:rsid w:val="0029662E"/>
    <w:rsid w:val="002A21BF"/>
    <w:rsid w:val="002A2203"/>
    <w:rsid w:val="002A497E"/>
    <w:rsid w:val="002A4E04"/>
    <w:rsid w:val="002B048C"/>
    <w:rsid w:val="002B39DC"/>
    <w:rsid w:val="002B5663"/>
    <w:rsid w:val="002C72E1"/>
    <w:rsid w:val="002C797A"/>
    <w:rsid w:val="002D27E1"/>
    <w:rsid w:val="002D4CC7"/>
    <w:rsid w:val="002D4F58"/>
    <w:rsid w:val="002D54E0"/>
    <w:rsid w:val="002D685E"/>
    <w:rsid w:val="002D7735"/>
    <w:rsid w:val="002E220C"/>
    <w:rsid w:val="002F2EF9"/>
    <w:rsid w:val="00301427"/>
    <w:rsid w:val="003024ED"/>
    <w:rsid w:val="0030415C"/>
    <w:rsid w:val="003041BC"/>
    <w:rsid w:val="003048F2"/>
    <w:rsid w:val="00305981"/>
    <w:rsid w:val="0031356F"/>
    <w:rsid w:val="00313DD9"/>
    <w:rsid w:val="0031528C"/>
    <w:rsid w:val="0031551B"/>
    <w:rsid w:val="003158DE"/>
    <w:rsid w:val="0031607E"/>
    <w:rsid w:val="00316E35"/>
    <w:rsid w:val="00317943"/>
    <w:rsid w:val="003203E5"/>
    <w:rsid w:val="00321368"/>
    <w:rsid w:val="00321BC3"/>
    <w:rsid w:val="00322E36"/>
    <w:rsid w:val="00323FE6"/>
    <w:rsid w:val="0032413B"/>
    <w:rsid w:val="00324B85"/>
    <w:rsid w:val="00324F94"/>
    <w:rsid w:val="00325E60"/>
    <w:rsid w:val="00327765"/>
    <w:rsid w:val="00327B9D"/>
    <w:rsid w:val="00331D7E"/>
    <w:rsid w:val="00331DBD"/>
    <w:rsid w:val="00331E69"/>
    <w:rsid w:val="003323C6"/>
    <w:rsid w:val="003325AB"/>
    <w:rsid w:val="00333440"/>
    <w:rsid w:val="0033662F"/>
    <w:rsid w:val="00336BE5"/>
    <w:rsid w:val="00336F04"/>
    <w:rsid w:val="0033709E"/>
    <w:rsid w:val="00340112"/>
    <w:rsid w:val="00344B40"/>
    <w:rsid w:val="00346FD1"/>
    <w:rsid w:val="003516A0"/>
    <w:rsid w:val="003553DC"/>
    <w:rsid w:val="00355BC2"/>
    <w:rsid w:val="00356D22"/>
    <w:rsid w:val="00360A20"/>
    <w:rsid w:val="00362EEF"/>
    <w:rsid w:val="00370417"/>
    <w:rsid w:val="003713C9"/>
    <w:rsid w:val="003741DE"/>
    <w:rsid w:val="003743AD"/>
    <w:rsid w:val="0037773C"/>
    <w:rsid w:val="00377D41"/>
    <w:rsid w:val="00381566"/>
    <w:rsid w:val="003865CA"/>
    <w:rsid w:val="003900AC"/>
    <w:rsid w:val="00395F4B"/>
    <w:rsid w:val="003A0D8E"/>
    <w:rsid w:val="003A2AEC"/>
    <w:rsid w:val="003A382D"/>
    <w:rsid w:val="003A3B62"/>
    <w:rsid w:val="003B172A"/>
    <w:rsid w:val="003C0E53"/>
    <w:rsid w:val="003C2640"/>
    <w:rsid w:val="003C42E6"/>
    <w:rsid w:val="003C5588"/>
    <w:rsid w:val="003D1E64"/>
    <w:rsid w:val="003D21B9"/>
    <w:rsid w:val="003D2DC7"/>
    <w:rsid w:val="003D32FA"/>
    <w:rsid w:val="003D4FD2"/>
    <w:rsid w:val="003D6A81"/>
    <w:rsid w:val="003E0D92"/>
    <w:rsid w:val="003E1451"/>
    <w:rsid w:val="003E409C"/>
    <w:rsid w:val="003E4558"/>
    <w:rsid w:val="003F068E"/>
    <w:rsid w:val="003F1023"/>
    <w:rsid w:val="003F17A7"/>
    <w:rsid w:val="003F2134"/>
    <w:rsid w:val="003F35F0"/>
    <w:rsid w:val="003F3DC5"/>
    <w:rsid w:val="003F5259"/>
    <w:rsid w:val="003F5D18"/>
    <w:rsid w:val="004006F6"/>
    <w:rsid w:val="00400D8C"/>
    <w:rsid w:val="00403CE3"/>
    <w:rsid w:val="004047EB"/>
    <w:rsid w:val="00415247"/>
    <w:rsid w:val="004152C3"/>
    <w:rsid w:val="00423252"/>
    <w:rsid w:val="00424172"/>
    <w:rsid w:val="0043070C"/>
    <w:rsid w:val="00430E04"/>
    <w:rsid w:val="004318E2"/>
    <w:rsid w:val="00431C9F"/>
    <w:rsid w:val="00432F9A"/>
    <w:rsid w:val="00433A50"/>
    <w:rsid w:val="004359A4"/>
    <w:rsid w:val="004370E6"/>
    <w:rsid w:val="004429F0"/>
    <w:rsid w:val="00445685"/>
    <w:rsid w:val="00447DDA"/>
    <w:rsid w:val="00453EAF"/>
    <w:rsid w:val="004550D5"/>
    <w:rsid w:val="00456EFF"/>
    <w:rsid w:val="0046686E"/>
    <w:rsid w:val="0046726C"/>
    <w:rsid w:val="004678D1"/>
    <w:rsid w:val="00467D18"/>
    <w:rsid w:val="00472580"/>
    <w:rsid w:val="00473276"/>
    <w:rsid w:val="004757F0"/>
    <w:rsid w:val="00484110"/>
    <w:rsid w:val="0048459C"/>
    <w:rsid w:val="004846CB"/>
    <w:rsid w:val="00485F8A"/>
    <w:rsid w:val="0048635D"/>
    <w:rsid w:val="00487313"/>
    <w:rsid w:val="00491207"/>
    <w:rsid w:val="0049349F"/>
    <w:rsid w:val="004A1E5A"/>
    <w:rsid w:val="004A3488"/>
    <w:rsid w:val="004A356A"/>
    <w:rsid w:val="004A3F04"/>
    <w:rsid w:val="004A563F"/>
    <w:rsid w:val="004A64BD"/>
    <w:rsid w:val="004B0BFE"/>
    <w:rsid w:val="004B206C"/>
    <w:rsid w:val="004B2DB4"/>
    <w:rsid w:val="004B3018"/>
    <w:rsid w:val="004B4066"/>
    <w:rsid w:val="004B4CC9"/>
    <w:rsid w:val="004B5A9A"/>
    <w:rsid w:val="004B5F2B"/>
    <w:rsid w:val="004C08F8"/>
    <w:rsid w:val="004C4892"/>
    <w:rsid w:val="004C53D4"/>
    <w:rsid w:val="004C6228"/>
    <w:rsid w:val="004C6E54"/>
    <w:rsid w:val="004D018C"/>
    <w:rsid w:val="004D0D30"/>
    <w:rsid w:val="004D1EA1"/>
    <w:rsid w:val="004D31F7"/>
    <w:rsid w:val="004D3324"/>
    <w:rsid w:val="004D6E38"/>
    <w:rsid w:val="004E00AA"/>
    <w:rsid w:val="004E5CA9"/>
    <w:rsid w:val="004E752B"/>
    <w:rsid w:val="004F04E0"/>
    <w:rsid w:val="004F1E53"/>
    <w:rsid w:val="004F327C"/>
    <w:rsid w:val="0050015A"/>
    <w:rsid w:val="00500ADA"/>
    <w:rsid w:val="0050137D"/>
    <w:rsid w:val="00503E1E"/>
    <w:rsid w:val="00505CFE"/>
    <w:rsid w:val="005066CF"/>
    <w:rsid w:val="00511782"/>
    <w:rsid w:val="005120D4"/>
    <w:rsid w:val="005120E9"/>
    <w:rsid w:val="0051229B"/>
    <w:rsid w:val="0051267D"/>
    <w:rsid w:val="005156DF"/>
    <w:rsid w:val="00516735"/>
    <w:rsid w:val="0052301B"/>
    <w:rsid w:val="0052431C"/>
    <w:rsid w:val="00524845"/>
    <w:rsid w:val="00524968"/>
    <w:rsid w:val="00526C26"/>
    <w:rsid w:val="0052712C"/>
    <w:rsid w:val="00532BAE"/>
    <w:rsid w:val="005337B0"/>
    <w:rsid w:val="00533BD6"/>
    <w:rsid w:val="00536294"/>
    <w:rsid w:val="00547EBC"/>
    <w:rsid w:val="0055063C"/>
    <w:rsid w:val="00550FF9"/>
    <w:rsid w:val="005552BD"/>
    <w:rsid w:val="005573AC"/>
    <w:rsid w:val="0056021A"/>
    <w:rsid w:val="00562070"/>
    <w:rsid w:val="00563709"/>
    <w:rsid w:val="00563971"/>
    <w:rsid w:val="00563F1E"/>
    <w:rsid w:val="0056457C"/>
    <w:rsid w:val="0056715B"/>
    <w:rsid w:val="005678B0"/>
    <w:rsid w:val="00571C74"/>
    <w:rsid w:val="00571F02"/>
    <w:rsid w:val="005731CE"/>
    <w:rsid w:val="005745AD"/>
    <w:rsid w:val="00577B61"/>
    <w:rsid w:val="00580AA1"/>
    <w:rsid w:val="00582207"/>
    <w:rsid w:val="00582407"/>
    <w:rsid w:val="005824CC"/>
    <w:rsid w:val="005848D1"/>
    <w:rsid w:val="005860FE"/>
    <w:rsid w:val="0058739F"/>
    <w:rsid w:val="00590ABC"/>
    <w:rsid w:val="00591E28"/>
    <w:rsid w:val="0059252A"/>
    <w:rsid w:val="00592DC4"/>
    <w:rsid w:val="005A0363"/>
    <w:rsid w:val="005A20B1"/>
    <w:rsid w:val="005A3BA1"/>
    <w:rsid w:val="005A5514"/>
    <w:rsid w:val="005A6D67"/>
    <w:rsid w:val="005A77E4"/>
    <w:rsid w:val="005A7C8C"/>
    <w:rsid w:val="005B1933"/>
    <w:rsid w:val="005B6F85"/>
    <w:rsid w:val="005C00E8"/>
    <w:rsid w:val="005C0487"/>
    <w:rsid w:val="005C1878"/>
    <w:rsid w:val="005C247E"/>
    <w:rsid w:val="005C3887"/>
    <w:rsid w:val="005C498A"/>
    <w:rsid w:val="005D0420"/>
    <w:rsid w:val="005D24EA"/>
    <w:rsid w:val="005D2BF5"/>
    <w:rsid w:val="005D2D6A"/>
    <w:rsid w:val="005D3784"/>
    <w:rsid w:val="005D487C"/>
    <w:rsid w:val="005D530F"/>
    <w:rsid w:val="005D5CE6"/>
    <w:rsid w:val="005E0141"/>
    <w:rsid w:val="005E2EE5"/>
    <w:rsid w:val="005E4373"/>
    <w:rsid w:val="005E614F"/>
    <w:rsid w:val="005F0730"/>
    <w:rsid w:val="005F1933"/>
    <w:rsid w:val="005F30BF"/>
    <w:rsid w:val="005F3201"/>
    <w:rsid w:val="005F39DC"/>
    <w:rsid w:val="005F4242"/>
    <w:rsid w:val="005F46D5"/>
    <w:rsid w:val="005F5832"/>
    <w:rsid w:val="005F64AE"/>
    <w:rsid w:val="005F6D6A"/>
    <w:rsid w:val="006009E2"/>
    <w:rsid w:val="00603F62"/>
    <w:rsid w:val="00604155"/>
    <w:rsid w:val="00604496"/>
    <w:rsid w:val="00605902"/>
    <w:rsid w:val="00606C5A"/>
    <w:rsid w:val="00607490"/>
    <w:rsid w:val="00607577"/>
    <w:rsid w:val="00610FE4"/>
    <w:rsid w:val="00612F7A"/>
    <w:rsid w:val="00615293"/>
    <w:rsid w:val="00620AE5"/>
    <w:rsid w:val="0062209E"/>
    <w:rsid w:val="00622FAA"/>
    <w:rsid w:val="006259CA"/>
    <w:rsid w:val="0062633F"/>
    <w:rsid w:val="0062698B"/>
    <w:rsid w:val="00626F28"/>
    <w:rsid w:val="006273FA"/>
    <w:rsid w:val="00627969"/>
    <w:rsid w:val="006316EF"/>
    <w:rsid w:val="0063256B"/>
    <w:rsid w:val="006333B6"/>
    <w:rsid w:val="0063634E"/>
    <w:rsid w:val="0064072C"/>
    <w:rsid w:val="0064294E"/>
    <w:rsid w:val="0064302A"/>
    <w:rsid w:val="0064440E"/>
    <w:rsid w:val="0064479E"/>
    <w:rsid w:val="00644A3B"/>
    <w:rsid w:val="00646923"/>
    <w:rsid w:val="006500B6"/>
    <w:rsid w:val="00655AD4"/>
    <w:rsid w:val="006561A5"/>
    <w:rsid w:val="00657DD9"/>
    <w:rsid w:val="00660C03"/>
    <w:rsid w:val="00660D0C"/>
    <w:rsid w:val="00661430"/>
    <w:rsid w:val="00662BBA"/>
    <w:rsid w:val="00663944"/>
    <w:rsid w:val="006665A5"/>
    <w:rsid w:val="006702E3"/>
    <w:rsid w:val="00673817"/>
    <w:rsid w:val="006768AB"/>
    <w:rsid w:val="0067771E"/>
    <w:rsid w:val="00677DAC"/>
    <w:rsid w:val="0068051A"/>
    <w:rsid w:val="00680CB1"/>
    <w:rsid w:val="00684350"/>
    <w:rsid w:val="00690E2D"/>
    <w:rsid w:val="00691763"/>
    <w:rsid w:val="00693499"/>
    <w:rsid w:val="00694678"/>
    <w:rsid w:val="00696DD7"/>
    <w:rsid w:val="006A2B6E"/>
    <w:rsid w:val="006A3EF6"/>
    <w:rsid w:val="006A497B"/>
    <w:rsid w:val="006A4FA7"/>
    <w:rsid w:val="006A6027"/>
    <w:rsid w:val="006B3285"/>
    <w:rsid w:val="006B4000"/>
    <w:rsid w:val="006B5841"/>
    <w:rsid w:val="006C07C7"/>
    <w:rsid w:val="006C090C"/>
    <w:rsid w:val="006C21C6"/>
    <w:rsid w:val="006C25EF"/>
    <w:rsid w:val="006C78B1"/>
    <w:rsid w:val="006C7ADA"/>
    <w:rsid w:val="006D0528"/>
    <w:rsid w:val="006D19A6"/>
    <w:rsid w:val="006D314F"/>
    <w:rsid w:val="006D554D"/>
    <w:rsid w:val="006E038D"/>
    <w:rsid w:val="006E099D"/>
    <w:rsid w:val="006E3598"/>
    <w:rsid w:val="006E610A"/>
    <w:rsid w:val="007019E1"/>
    <w:rsid w:val="00703705"/>
    <w:rsid w:val="00704F7C"/>
    <w:rsid w:val="00707D75"/>
    <w:rsid w:val="00712C36"/>
    <w:rsid w:val="00712E2E"/>
    <w:rsid w:val="00713647"/>
    <w:rsid w:val="00713919"/>
    <w:rsid w:val="007147CE"/>
    <w:rsid w:val="00714B11"/>
    <w:rsid w:val="00715A2C"/>
    <w:rsid w:val="00716240"/>
    <w:rsid w:val="00721DF5"/>
    <w:rsid w:val="007228CE"/>
    <w:rsid w:val="00723937"/>
    <w:rsid w:val="00724909"/>
    <w:rsid w:val="0073185A"/>
    <w:rsid w:val="007321FD"/>
    <w:rsid w:val="00734E72"/>
    <w:rsid w:val="00734FA9"/>
    <w:rsid w:val="0073719F"/>
    <w:rsid w:val="007419A5"/>
    <w:rsid w:val="007425AA"/>
    <w:rsid w:val="00742D0F"/>
    <w:rsid w:val="00743E34"/>
    <w:rsid w:val="007465A9"/>
    <w:rsid w:val="00751025"/>
    <w:rsid w:val="00755637"/>
    <w:rsid w:val="00755937"/>
    <w:rsid w:val="00755BA0"/>
    <w:rsid w:val="00755C6B"/>
    <w:rsid w:val="00756711"/>
    <w:rsid w:val="00760D77"/>
    <w:rsid w:val="007619F6"/>
    <w:rsid w:val="00761D35"/>
    <w:rsid w:val="00767116"/>
    <w:rsid w:val="00767598"/>
    <w:rsid w:val="0076791C"/>
    <w:rsid w:val="00772637"/>
    <w:rsid w:val="007760E6"/>
    <w:rsid w:val="0077659D"/>
    <w:rsid w:val="007802A2"/>
    <w:rsid w:val="0078071A"/>
    <w:rsid w:val="007817A1"/>
    <w:rsid w:val="00782AB2"/>
    <w:rsid w:val="00782AB6"/>
    <w:rsid w:val="00785C96"/>
    <w:rsid w:val="00786156"/>
    <w:rsid w:val="00790ED6"/>
    <w:rsid w:val="007929AE"/>
    <w:rsid w:val="00793640"/>
    <w:rsid w:val="007939B7"/>
    <w:rsid w:val="00793EAC"/>
    <w:rsid w:val="00795EB6"/>
    <w:rsid w:val="0079674D"/>
    <w:rsid w:val="00797055"/>
    <w:rsid w:val="00797D59"/>
    <w:rsid w:val="007A0A07"/>
    <w:rsid w:val="007A6E9C"/>
    <w:rsid w:val="007B11B9"/>
    <w:rsid w:val="007B3D83"/>
    <w:rsid w:val="007B64A6"/>
    <w:rsid w:val="007B7366"/>
    <w:rsid w:val="007B78C4"/>
    <w:rsid w:val="007C0ADD"/>
    <w:rsid w:val="007C18C6"/>
    <w:rsid w:val="007C5DB6"/>
    <w:rsid w:val="007C6049"/>
    <w:rsid w:val="007C630E"/>
    <w:rsid w:val="007C66C5"/>
    <w:rsid w:val="007D5027"/>
    <w:rsid w:val="007D6EBA"/>
    <w:rsid w:val="007E0D2C"/>
    <w:rsid w:val="007E2C0E"/>
    <w:rsid w:val="007E44BA"/>
    <w:rsid w:val="007E4840"/>
    <w:rsid w:val="007E4F73"/>
    <w:rsid w:val="007E4FC3"/>
    <w:rsid w:val="007E500E"/>
    <w:rsid w:val="007E5080"/>
    <w:rsid w:val="007E50F4"/>
    <w:rsid w:val="007E57BF"/>
    <w:rsid w:val="007E6530"/>
    <w:rsid w:val="007E6EBB"/>
    <w:rsid w:val="007F37A9"/>
    <w:rsid w:val="007F5606"/>
    <w:rsid w:val="007F6AFA"/>
    <w:rsid w:val="00801118"/>
    <w:rsid w:val="0080480F"/>
    <w:rsid w:val="008078C3"/>
    <w:rsid w:val="00807B3B"/>
    <w:rsid w:val="0081003F"/>
    <w:rsid w:val="00814B4A"/>
    <w:rsid w:val="00815462"/>
    <w:rsid w:val="00815911"/>
    <w:rsid w:val="00816C42"/>
    <w:rsid w:val="008216F2"/>
    <w:rsid w:val="008267B5"/>
    <w:rsid w:val="00826A14"/>
    <w:rsid w:val="008307EE"/>
    <w:rsid w:val="00832F65"/>
    <w:rsid w:val="00833436"/>
    <w:rsid w:val="00833570"/>
    <w:rsid w:val="00833917"/>
    <w:rsid w:val="008352F2"/>
    <w:rsid w:val="00835CEE"/>
    <w:rsid w:val="00836FDD"/>
    <w:rsid w:val="00843EBC"/>
    <w:rsid w:val="0084526F"/>
    <w:rsid w:val="008463B7"/>
    <w:rsid w:val="00851C04"/>
    <w:rsid w:val="00852B6D"/>
    <w:rsid w:val="008562A9"/>
    <w:rsid w:val="00867164"/>
    <w:rsid w:val="00867D86"/>
    <w:rsid w:val="00876A71"/>
    <w:rsid w:val="0088106F"/>
    <w:rsid w:val="00882303"/>
    <w:rsid w:val="00882B39"/>
    <w:rsid w:val="00882E7E"/>
    <w:rsid w:val="008844B1"/>
    <w:rsid w:val="00884D8A"/>
    <w:rsid w:val="00885B78"/>
    <w:rsid w:val="00890272"/>
    <w:rsid w:val="008918E7"/>
    <w:rsid w:val="00891B8C"/>
    <w:rsid w:val="00891BF5"/>
    <w:rsid w:val="00894993"/>
    <w:rsid w:val="008949B3"/>
    <w:rsid w:val="00895539"/>
    <w:rsid w:val="008973F7"/>
    <w:rsid w:val="008A2529"/>
    <w:rsid w:val="008A380A"/>
    <w:rsid w:val="008A4BF8"/>
    <w:rsid w:val="008A5817"/>
    <w:rsid w:val="008B0734"/>
    <w:rsid w:val="008B279A"/>
    <w:rsid w:val="008B2D21"/>
    <w:rsid w:val="008B3A1C"/>
    <w:rsid w:val="008B6677"/>
    <w:rsid w:val="008C11A4"/>
    <w:rsid w:val="008C2F5E"/>
    <w:rsid w:val="008C32AE"/>
    <w:rsid w:val="008C45E6"/>
    <w:rsid w:val="008C4732"/>
    <w:rsid w:val="008C577C"/>
    <w:rsid w:val="008C6CBB"/>
    <w:rsid w:val="008D0DFE"/>
    <w:rsid w:val="008D149B"/>
    <w:rsid w:val="008D1586"/>
    <w:rsid w:val="008D3572"/>
    <w:rsid w:val="008D481C"/>
    <w:rsid w:val="008D5304"/>
    <w:rsid w:val="008D5B2C"/>
    <w:rsid w:val="008E1626"/>
    <w:rsid w:val="008E45AF"/>
    <w:rsid w:val="008E4B18"/>
    <w:rsid w:val="008E5760"/>
    <w:rsid w:val="008F10E3"/>
    <w:rsid w:val="008F2BD8"/>
    <w:rsid w:val="008F5865"/>
    <w:rsid w:val="008F6F31"/>
    <w:rsid w:val="008F7768"/>
    <w:rsid w:val="009010A7"/>
    <w:rsid w:val="009027AB"/>
    <w:rsid w:val="009029C8"/>
    <w:rsid w:val="00902EF7"/>
    <w:rsid w:val="00906DC9"/>
    <w:rsid w:val="00907996"/>
    <w:rsid w:val="00907A42"/>
    <w:rsid w:val="00907BF9"/>
    <w:rsid w:val="00911F27"/>
    <w:rsid w:val="00912BF9"/>
    <w:rsid w:val="00916535"/>
    <w:rsid w:val="0092266B"/>
    <w:rsid w:val="009229D8"/>
    <w:rsid w:val="00927217"/>
    <w:rsid w:val="00931C09"/>
    <w:rsid w:val="009347D5"/>
    <w:rsid w:val="00934944"/>
    <w:rsid w:val="00935995"/>
    <w:rsid w:val="00936429"/>
    <w:rsid w:val="00940571"/>
    <w:rsid w:val="00943AE1"/>
    <w:rsid w:val="009443D1"/>
    <w:rsid w:val="00944835"/>
    <w:rsid w:val="009456A2"/>
    <w:rsid w:val="0095439C"/>
    <w:rsid w:val="00956926"/>
    <w:rsid w:val="00961513"/>
    <w:rsid w:val="00961E08"/>
    <w:rsid w:val="009643E9"/>
    <w:rsid w:val="00965B12"/>
    <w:rsid w:val="009672D9"/>
    <w:rsid w:val="009674C2"/>
    <w:rsid w:val="00970383"/>
    <w:rsid w:val="0097117E"/>
    <w:rsid w:val="00971F43"/>
    <w:rsid w:val="0097511A"/>
    <w:rsid w:val="009754FD"/>
    <w:rsid w:val="00975CC3"/>
    <w:rsid w:val="00976041"/>
    <w:rsid w:val="009762AE"/>
    <w:rsid w:val="0097634A"/>
    <w:rsid w:val="00976798"/>
    <w:rsid w:val="0098187E"/>
    <w:rsid w:val="00994809"/>
    <w:rsid w:val="00995D28"/>
    <w:rsid w:val="00996A7B"/>
    <w:rsid w:val="00997472"/>
    <w:rsid w:val="009A2FB5"/>
    <w:rsid w:val="009A468A"/>
    <w:rsid w:val="009A4A5F"/>
    <w:rsid w:val="009A5544"/>
    <w:rsid w:val="009A58DE"/>
    <w:rsid w:val="009B36C0"/>
    <w:rsid w:val="009B3E8F"/>
    <w:rsid w:val="009B5A27"/>
    <w:rsid w:val="009B64C5"/>
    <w:rsid w:val="009B66DF"/>
    <w:rsid w:val="009B7BFB"/>
    <w:rsid w:val="009C0291"/>
    <w:rsid w:val="009C0D15"/>
    <w:rsid w:val="009C0FBA"/>
    <w:rsid w:val="009C4E24"/>
    <w:rsid w:val="009C66F1"/>
    <w:rsid w:val="009C7226"/>
    <w:rsid w:val="009D00F4"/>
    <w:rsid w:val="009D03D8"/>
    <w:rsid w:val="009D3571"/>
    <w:rsid w:val="009D6015"/>
    <w:rsid w:val="009E0E26"/>
    <w:rsid w:val="009E4180"/>
    <w:rsid w:val="009E4B3E"/>
    <w:rsid w:val="009E5365"/>
    <w:rsid w:val="009F0953"/>
    <w:rsid w:val="00A0071A"/>
    <w:rsid w:val="00A01936"/>
    <w:rsid w:val="00A02B2F"/>
    <w:rsid w:val="00A05BC2"/>
    <w:rsid w:val="00A05C45"/>
    <w:rsid w:val="00A17286"/>
    <w:rsid w:val="00A207D2"/>
    <w:rsid w:val="00A229DC"/>
    <w:rsid w:val="00A23521"/>
    <w:rsid w:val="00A23B9E"/>
    <w:rsid w:val="00A23F3E"/>
    <w:rsid w:val="00A2450E"/>
    <w:rsid w:val="00A24D04"/>
    <w:rsid w:val="00A24F91"/>
    <w:rsid w:val="00A27501"/>
    <w:rsid w:val="00A27552"/>
    <w:rsid w:val="00A301F2"/>
    <w:rsid w:val="00A33FA4"/>
    <w:rsid w:val="00A3586B"/>
    <w:rsid w:val="00A406D5"/>
    <w:rsid w:val="00A41DF7"/>
    <w:rsid w:val="00A422C3"/>
    <w:rsid w:val="00A44EE4"/>
    <w:rsid w:val="00A47029"/>
    <w:rsid w:val="00A473BE"/>
    <w:rsid w:val="00A51748"/>
    <w:rsid w:val="00A53D0A"/>
    <w:rsid w:val="00A57276"/>
    <w:rsid w:val="00A57E4A"/>
    <w:rsid w:val="00A60D8B"/>
    <w:rsid w:val="00A629C7"/>
    <w:rsid w:val="00A6426B"/>
    <w:rsid w:val="00A648FB"/>
    <w:rsid w:val="00A657D6"/>
    <w:rsid w:val="00A705AF"/>
    <w:rsid w:val="00A734D1"/>
    <w:rsid w:val="00A76501"/>
    <w:rsid w:val="00A77AFD"/>
    <w:rsid w:val="00A81CC7"/>
    <w:rsid w:val="00A845DA"/>
    <w:rsid w:val="00A864C9"/>
    <w:rsid w:val="00A86C1D"/>
    <w:rsid w:val="00A872FB"/>
    <w:rsid w:val="00A87CB9"/>
    <w:rsid w:val="00A906CD"/>
    <w:rsid w:val="00A95157"/>
    <w:rsid w:val="00A952F5"/>
    <w:rsid w:val="00A96399"/>
    <w:rsid w:val="00A9668B"/>
    <w:rsid w:val="00A97F5E"/>
    <w:rsid w:val="00AA1640"/>
    <w:rsid w:val="00AA51F4"/>
    <w:rsid w:val="00AA6CCE"/>
    <w:rsid w:val="00AB4B76"/>
    <w:rsid w:val="00AB5967"/>
    <w:rsid w:val="00AB5B6F"/>
    <w:rsid w:val="00AD2522"/>
    <w:rsid w:val="00AD4C84"/>
    <w:rsid w:val="00AD6744"/>
    <w:rsid w:val="00AE01A0"/>
    <w:rsid w:val="00AE1205"/>
    <w:rsid w:val="00AE2ED9"/>
    <w:rsid w:val="00AE3F66"/>
    <w:rsid w:val="00AE4098"/>
    <w:rsid w:val="00AE4918"/>
    <w:rsid w:val="00AE6E8D"/>
    <w:rsid w:val="00AE7BF6"/>
    <w:rsid w:val="00AF1DCB"/>
    <w:rsid w:val="00AF34D6"/>
    <w:rsid w:val="00AF4417"/>
    <w:rsid w:val="00AF7B3F"/>
    <w:rsid w:val="00B01517"/>
    <w:rsid w:val="00B02168"/>
    <w:rsid w:val="00B0363B"/>
    <w:rsid w:val="00B0724F"/>
    <w:rsid w:val="00B1210E"/>
    <w:rsid w:val="00B12BC0"/>
    <w:rsid w:val="00B144B0"/>
    <w:rsid w:val="00B17252"/>
    <w:rsid w:val="00B21980"/>
    <w:rsid w:val="00B21DE6"/>
    <w:rsid w:val="00B22D33"/>
    <w:rsid w:val="00B25D98"/>
    <w:rsid w:val="00B304BB"/>
    <w:rsid w:val="00B3176F"/>
    <w:rsid w:val="00B31F4F"/>
    <w:rsid w:val="00B32389"/>
    <w:rsid w:val="00B35411"/>
    <w:rsid w:val="00B4163F"/>
    <w:rsid w:val="00B419F4"/>
    <w:rsid w:val="00B4206A"/>
    <w:rsid w:val="00B43565"/>
    <w:rsid w:val="00B43679"/>
    <w:rsid w:val="00B4477A"/>
    <w:rsid w:val="00B44E12"/>
    <w:rsid w:val="00B452F4"/>
    <w:rsid w:val="00B45D1C"/>
    <w:rsid w:val="00B46E15"/>
    <w:rsid w:val="00B47588"/>
    <w:rsid w:val="00B47BCE"/>
    <w:rsid w:val="00B51418"/>
    <w:rsid w:val="00B52D25"/>
    <w:rsid w:val="00B541A3"/>
    <w:rsid w:val="00B56BE9"/>
    <w:rsid w:val="00B60A40"/>
    <w:rsid w:val="00B62C88"/>
    <w:rsid w:val="00B6691D"/>
    <w:rsid w:val="00B7360F"/>
    <w:rsid w:val="00B77D34"/>
    <w:rsid w:val="00B8167D"/>
    <w:rsid w:val="00B81D44"/>
    <w:rsid w:val="00B82944"/>
    <w:rsid w:val="00B82D4E"/>
    <w:rsid w:val="00B84A70"/>
    <w:rsid w:val="00B84F44"/>
    <w:rsid w:val="00B920AF"/>
    <w:rsid w:val="00B92A27"/>
    <w:rsid w:val="00B939E9"/>
    <w:rsid w:val="00B94ADD"/>
    <w:rsid w:val="00B97D10"/>
    <w:rsid w:val="00BA21B8"/>
    <w:rsid w:val="00BA2677"/>
    <w:rsid w:val="00BA5D8F"/>
    <w:rsid w:val="00BA72D2"/>
    <w:rsid w:val="00BA77C6"/>
    <w:rsid w:val="00BB38CA"/>
    <w:rsid w:val="00BB3BC6"/>
    <w:rsid w:val="00BB43F0"/>
    <w:rsid w:val="00BB48BF"/>
    <w:rsid w:val="00BB7972"/>
    <w:rsid w:val="00BC0E5B"/>
    <w:rsid w:val="00BC4757"/>
    <w:rsid w:val="00BC4948"/>
    <w:rsid w:val="00BC4C87"/>
    <w:rsid w:val="00BC69D0"/>
    <w:rsid w:val="00BD01F5"/>
    <w:rsid w:val="00BD158B"/>
    <w:rsid w:val="00BD35EA"/>
    <w:rsid w:val="00BD539E"/>
    <w:rsid w:val="00BD5898"/>
    <w:rsid w:val="00BD70B2"/>
    <w:rsid w:val="00BE3001"/>
    <w:rsid w:val="00BE3FF5"/>
    <w:rsid w:val="00BE726C"/>
    <w:rsid w:val="00BE79BC"/>
    <w:rsid w:val="00BF030E"/>
    <w:rsid w:val="00BF06CC"/>
    <w:rsid w:val="00BF1903"/>
    <w:rsid w:val="00BF23F6"/>
    <w:rsid w:val="00BF6D19"/>
    <w:rsid w:val="00BF6D42"/>
    <w:rsid w:val="00C007F5"/>
    <w:rsid w:val="00C02030"/>
    <w:rsid w:val="00C02E23"/>
    <w:rsid w:val="00C054DB"/>
    <w:rsid w:val="00C056A4"/>
    <w:rsid w:val="00C103EC"/>
    <w:rsid w:val="00C11DDB"/>
    <w:rsid w:val="00C13255"/>
    <w:rsid w:val="00C13BE8"/>
    <w:rsid w:val="00C168FB"/>
    <w:rsid w:val="00C16DE0"/>
    <w:rsid w:val="00C16FB9"/>
    <w:rsid w:val="00C17C4D"/>
    <w:rsid w:val="00C22708"/>
    <w:rsid w:val="00C22FCE"/>
    <w:rsid w:val="00C23B73"/>
    <w:rsid w:val="00C26F82"/>
    <w:rsid w:val="00C27D84"/>
    <w:rsid w:val="00C27EF7"/>
    <w:rsid w:val="00C3036D"/>
    <w:rsid w:val="00C339F0"/>
    <w:rsid w:val="00C34FFB"/>
    <w:rsid w:val="00C427E0"/>
    <w:rsid w:val="00C43C18"/>
    <w:rsid w:val="00C446B6"/>
    <w:rsid w:val="00C454C8"/>
    <w:rsid w:val="00C478EA"/>
    <w:rsid w:val="00C50F87"/>
    <w:rsid w:val="00C51B46"/>
    <w:rsid w:val="00C5285E"/>
    <w:rsid w:val="00C5447E"/>
    <w:rsid w:val="00C54CA1"/>
    <w:rsid w:val="00C60782"/>
    <w:rsid w:val="00C61931"/>
    <w:rsid w:val="00C62C69"/>
    <w:rsid w:val="00C631E2"/>
    <w:rsid w:val="00C6388F"/>
    <w:rsid w:val="00C65092"/>
    <w:rsid w:val="00C72756"/>
    <w:rsid w:val="00C7311A"/>
    <w:rsid w:val="00C748A0"/>
    <w:rsid w:val="00C75EBB"/>
    <w:rsid w:val="00C76812"/>
    <w:rsid w:val="00C77A41"/>
    <w:rsid w:val="00C81759"/>
    <w:rsid w:val="00C841AB"/>
    <w:rsid w:val="00C84B3F"/>
    <w:rsid w:val="00C86085"/>
    <w:rsid w:val="00C86EF5"/>
    <w:rsid w:val="00C96F07"/>
    <w:rsid w:val="00C97EE3"/>
    <w:rsid w:val="00CA2272"/>
    <w:rsid w:val="00CA367C"/>
    <w:rsid w:val="00CA5D49"/>
    <w:rsid w:val="00CB01BE"/>
    <w:rsid w:val="00CB6436"/>
    <w:rsid w:val="00CB71BB"/>
    <w:rsid w:val="00CC21C2"/>
    <w:rsid w:val="00CC28C6"/>
    <w:rsid w:val="00CC441D"/>
    <w:rsid w:val="00CC4570"/>
    <w:rsid w:val="00CC4AEB"/>
    <w:rsid w:val="00CC6548"/>
    <w:rsid w:val="00CD10F1"/>
    <w:rsid w:val="00CD3179"/>
    <w:rsid w:val="00CD4911"/>
    <w:rsid w:val="00CD5F5A"/>
    <w:rsid w:val="00CD699B"/>
    <w:rsid w:val="00CE0FFC"/>
    <w:rsid w:val="00CE3525"/>
    <w:rsid w:val="00CE3972"/>
    <w:rsid w:val="00CF43E7"/>
    <w:rsid w:val="00CF4470"/>
    <w:rsid w:val="00CF4870"/>
    <w:rsid w:val="00D00124"/>
    <w:rsid w:val="00D0112F"/>
    <w:rsid w:val="00D014A6"/>
    <w:rsid w:val="00D0396F"/>
    <w:rsid w:val="00D04ECC"/>
    <w:rsid w:val="00D07BD0"/>
    <w:rsid w:val="00D07DFD"/>
    <w:rsid w:val="00D121CF"/>
    <w:rsid w:val="00D152FC"/>
    <w:rsid w:val="00D17307"/>
    <w:rsid w:val="00D200B2"/>
    <w:rsid w:val="00D202BA"/>
    <w:rsid w:val="00D21C03"/>
    <w:rsid w:val="00D22796"/>
    <w:rsid w:val="00D22BD7"/>
    <w:rsid w:val="00D30579"/>
    <w:rsid w:val="00D3084C"/>
    <w:rsid w:val="00D31299"/>
    <w:rsid w:val="00D3350E"/>
    <w:rsid w:val="00D33D56"/>
    <w:rsid w:val="00D35390"/>
    <w:rsid w:val="00D360CC"/>
    <w:rsid w:val="00D37F1B"/>
    <w:rsid w:val="00D43023"/>
    <w:rsid w:val="00D4723F"/>
    <w:rsid w:val="00D52337"/>
    <w:rsid w:val="00D52E31"/>
    <w:rsid w:val="00D530A6"/>
    <w:rsid w:val="00D53469"/>
    <w:rsid w:val="00D54682"/>
    <w:rsid w:val="00D56167"/>
    <w:rsid w:val="00D6208B"/>
    <w:rsid w:val="00D66B17"/>
    <w:rsid w:val="00D66DBC"/>
    <w:rsid w:val="00D7510C"/>
    <w:rsid w:val="00D76C94"/>
    <w:rsid w:val="00D773DD"/>
    <w:rsid w:val="00D81DD8"/>
    <w:rsid w:val="00D8467D"/>
    <w:rsid w:val="00D8717C"/>
    <w:rsid w:val="00D87C6B"/>
    <w:rsid w:val="00D92C3B"/>
    <w:rsid w:val="00D93A20"/>
    <w:rsid w:val="00D93FFA"/>
    <w:rsid w:val="00D9423D"/>
    <w:rsid w:val="00D95024"/>
    <w:rsid w:val="00D976F9"/>
    <w:rsid w:val="00DA155B"/>
    <w:rsid w:val="00DA4405"/>
    <w:rsid w:val="00DB118C"/>
    <w:rsid w:val="00DB1AB1"/>
    <w:rsid w:val="00DB3ABC"/>
    <w:rsid w:val="00DB53A0"/>
    <w:rsid w:val="00DB580D"/>
    <w:rsid w:val="00DC0643"/>
    <w:rsid w:val="00DC1EFA"/>
    <w:rsid w:val="00DC2E6D"/>
    <w:rsid w:val="00DC55C9"/>
    <w:rsid w:val="00DC5BB7"/>
    <w:rsid w:val="00DC5DC3"/>
    <w:rsid w:val="00DC61AA"/>
    <w:rsid w:val="00DD0B49"/>
    <w:rsid w:val="00DD1287"/>
    <w:rsid w:val="00DD2514"/>
    <w:rsid w:val="00DD2985"/>
    <w:rsid w:val="00DE20DC"/>
    <w:rsid w:val="00DE2B94"/>
    <w:rsid w:val="00DE31EB"/>
    <w:rsid w:val="00DE695F"/>
    <w:rsid w:val="00DE6BB0"/>
    <w:rsid w:val="00DF0D80"/>
    <w:rsid w:val="00DF1470"/>
    <w:rsid w:val="00DF2DE1"/>
    <w:rsid w:val="00DF300B"/>
    <w:rsid w:val="00DF57A4"/>
    <w:rsid w:val="00DF7393"/>
    <w:rsid w:val="00E001FD"/>
    <w:rsid w:val="00E02BF7"/>
    <w:rsid w:val="00E039E1"/>
    <w:rsid w:val="00E04CB3"/>
    <w:rsid w:val="00E1154C"/>
    <w:rsid w:val="00E124D2"/>
    <w:rsid w:val="00E128CA"/>
    <w:rsid w:val="00E12BEE"/>
    <w:rsid w:val="00E145B0"/>
    <w:rsid w:val="00E1460A"/>
    <w:rsid w:val="00E15E94"/>
    <w:rsid w:val="00E23E4A"/>
    <w:rsid w:val="00E2426F"/>
    <w:rsid w:val="00E24305"/>
    <w:rsid w:val="00E2434D"/>
    <w:rsid w:val="00E27742"/>
    <w:rsid w:val="00E30D86"/>
    <w:rsid w:val="00E3169F"/>
    <w:rsid w:val="00E34344"/>
    <w:rsid w:val="00E36757"/>
    <w:rsid w:val="00E41C6B"/>
    <w:rsid w:val="00E427A4"/>
    <w:rsid w:val="00E431C1"/>
    <w:rsid w:val="00E4389A"/>
    <w:rsid w:val="00E46643"/>
    <w:rsid w:val="00E46A87"/>
    <w:rsid w:val="00E52092"/>
    <w:rsid w:val="00E56309"/>
    <w:rsid w:val="00E57C2F"/>
    <w:rsid w:val="00E60CE1"/>
    <w:rsid w:val="00E648C1"/>
    <w:rsid w:val="00E67484"/>
    <w:rsid w:val="00E674D4"/>
    <w:rsid w:val="00E6777D"/>
    <w:rsid w:val="00E67D60"/>
    <w:rsid w:val="00E73B33"/>
    <w:rsid w:val="00E75A10"/>
    <w:rsid w:val="00E80F5C"/>
    <w:rsid w:val="00E81928"/>
    <w:rsid w:val="00E81AFF"/>
    <w:rsid w:val="00E8673A"/>
    <w:rsid w:val="00E86AB6"/>
    <w:rsid w:val="00E87ADE"/>
    <w:rsid w:val="00E92B12"/>
    <w:rsid w:val="00E94A41"/>
    <w:rsid w:val="00E97ED9"/>
    <w:rsid w:val="00EA1BE5"/>
    <w:rsid w:val="00EA32FF"/>
    <w:rsid w:val="00EA5DCE"/>
    <w:rsid w:val="00EA6348"/>
    <w:rsid w:val="00EB2260"/>
    <w:rsid w:val="00EB2C08"/>
    <w:rsid w:val="00EB2DB4"/>
    <w:rsid w:val="00EB4C31"/>
    <w:rsid w:val="00EB5EC2"/>
    <w:rsid w:val="00EC0B6C"/>
    <w:rsid w:val="00EC28EB"/>
    <w:rsid w:val="00EC3600"/>
    <w:rsid w:val="00EC37E9"/>
    <w:rsid w:val="00EC4635"/>
    <w:rsid w:val="00EC4C57"/>
    <w:rsid w:val="00EC5922"/>
    <w:rsid w:val="00ED22DD"/>
    <w:rsid w:val="00ED604C"/>
    <w:rsid w:val="00ED65A8"/>
    <w:rsid w:val="00ED7D40"/>
    <w:rsid w:val="00EE15FA"/>
    <w:rsid w:val="00EE3B0A"/>
    <w:rsid w:val="00EE4825"/>
    <w:rsid w:val="00EE5365"/>
    <w:rsid w:val="00EE7DDB"/>
    <w:rsid w:val="00EF23FB"/>
    <w:rsid w:val="00EF4980"/>
    <w:rsid w:val="00EF4CC0"/>
    <w:rsid w:val="00EF72F7"/>
    <w:rsid w:val="00F00978"/>
    <w:rsid w:val="00F0200B"/>
    <w:rsid w:val="00F02351"/>
    <w:rsid w:val="00F03D72"/>
    <w:rsid w:val="00F053F3"/>
    <w:rsid w:val="00F07205"/>
    <w:rsid w:val="00F14723"/>
    <w:rsid w:val="00F17B65"/>
    <w:rsid w:val="00F20189"/>
    <w:rsid w:val="00F20359"/>
    <w:rsid w:val="00F207E3"/>
    <w:rsid w:val="00F223A1"/>
    <w:rsid w:val="00F2306E"/>
    <w:rsid w:val="00F246C8"/>
    <w:rsid w:val="00F278AE"/>
    <w:rsid w:val="00F30F74"/>
    <w:rsid w:val="00F31781"/>
    <w:rsid w:val="00F3257C"/>
    <w:rsid w:val="00F346F7"/>
    <w:rsid w:val="00F35C74"/>
    <w:rsid w:val="00F400F7"/>
    <w:rsid w:val="00F41D45"/>
    <w:rsid w:val="00F43221"/>
    <w:rsid w:val="00F43C59"/>
    <w:rsid w:val="00F44A6B"/>
    <w:rsid w:val="00F5291A"/>
    <w:rsid w:val="00F562C3"/>
    <w:rsid w:val="00F6092E"/>
    <w:rsid w:val="00F63B48"/>
    <w:rsid w:val="00F64900"/>
    <w:rsid w:val="00F66380"/>
    <w:rsid w:val="00F70524"/>
    <w:rsid w:val="00F730CC"/>
    <w:rsid w:val="00F73DA5"/>
    <w:rsid w:val="00F76ECB"/>
    <w:rsid w:val="00F8038B"/>
    <w:rsid w:val="00F8285E"/>
    <w:rsid w:val="00F8588E"/>
    <w:rsid w:val="00F9018D"/>
    <w:rsid w:val="00F92A39"/>
    <w:rsid w:val="00F95721"/>
    <w:rsid w:val="00F96615"/>
    <w:rsid w:val="00F96E4F"/>
    <w:rsid w:val="00FA01D1"/>
    <w:rsid w:val="00FA051B"/>
    <w:rsid w:val="00FA2CEA"/>
    <w:rsid w:val="00FA6963"/>
    <w:rsid w:val="00FA6BCA"/>
    <w:rsid w:val="00FA71F5"/>
    <w:rsid w:val="00FB18DD"/>
    <w:rsid w:val="00FB230B"/>
    <w:rsid w:val="00FB3C1D"/>
    <w:rsid w:val="00FB4DD0"/>
    <w:rsid w:val="00FB593B"/>
    <w:rsid w:val="00FC19C6"/>
    <w:rsid w:val="00FC2301"/>
    <w:rsid w:val="00FC26CD"/>
    <w:rsid w:val="00FC3BD0"/>
    <w:rsid w:val="00FC51B2"/>
    <w:rsid w:val="00FC6C9E"/>
    <w:rsid w:val="00FD4A7A"/>
    <w:rsid w:val="00FE1E0D"/>
    <w:rsid w:val="00FE5A94"/>
    <w:rsid w:val="00FE62E9"/>
    <w:rsid w:val="00FE68BF"/>
    <w:rsid w:val="00FE7D80"/>
    <w:rsid w:val="00FF07E0"/>
    <w:rsid w:val="00FF1C86"/>
    <w:rsid w:val="00FF26A3"/>
    <w:rsid w:val="00FF4021"/>
    <w:rsid w:val="00FF5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77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88E"/>
    <w:rPr>
      <w:rFonts w:ascii="Arial" w:hAnsi="Arial"/>
      <w:sz w:val="24"/>
    </w:rPr>
  </w:style>
  <w:style w:type="paragraph" w:styleId="Heading1">
    <w:name w:val="heading 1"/>
    <w:basedOn w:val="Normal"/>
    <w:next w:val="ReportPara"/>
    <w:qFormat/>
    <w:rsid w:val="005F46D5"/>
    <w:pPr>
      <w:keepNext/>
      <w:numPr>
        <w:numId w:val="1"/>
      </w:numPr>
      <w:spacing w:before="120" w:after="120"/>
      <w:outlineLvl w:val="0"/>
    </w:pPr>
    <w:rPr>
      <w:b/>
      <w:caps/>
      <w:kern w:val="32"/>
      <w:szCs w:val="24"/>
    </w:rPr>
  </w:style>
  <w:style w:type="paragraph" w:styleId="Heading2">
    <w:name w:val="heading 2"/>
    <w:basedOn w:val="Normal"/>
    <w:next w:val="ReportPara"/>
    <w:link w:val="Heading2Char"/>
    <w:qFormat/>
    <w:rsid w:val="000F0461"/>
    <w:pPr>
      <w:keepNext/>
      <w:spacing w:after="120"/>
      <w:ind w:left="360"/>
      <w:outlineLvl w:val="1"/>
    </w:pPr>
    <w:rPr>
      <w:b/>
    </w:rPr>
  </w:style>
  <w:style w:type="paragraph" w:styleId="Heading3">
    <w:name w:val="heading 3"/>
    <w:basedOn w:val="Normal"/>
    <w:next w:val="Normal"/>
    <w:qFormat/>
    <w:rsid w:val="00836FDD"/>
    <w:pPr>
      <w:spacing w:after="120"/>
      <w:jc w:val="right"/>
      <w:outlineLvl w:val="2"/>
    </w:pPr>
    <w:rPr>
      <w:b/>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rsid w:val="00795EB6"/>
    <w:pPr>
      <w:tabs>
        <w:tab w:val="center" w:pos="4320"/>
        <w:tab w:val="right" w:pos="8640"/>
      </w:tabs>
    </w:pPr>
    <w:rPr>
      <w:sz w:val="22"/>
    </w:rPr>
  </w:style>
  <w:style w:type="character" w:styleId="PageNumber">
    <w:name w:val="page number"/>
    <w:basedOn w:val="DefaultParagraphFont"/>
  </w:style>
  <w:style w:type="character" w:styleId="Hyperlink">
    <w:name w:val="Hyperlink"/>
    <w:rsid w:val="00F07205"/>
    <w:rPr>
      <w:color w:val="0000FF"/>
      <w:u w:val="single"/>
    </w:rPr>
  </w:style>
  <w:style w:type="character" w:styleId="CommentReference">
    <w:name w:val="annotation reference"/>
    <w:uiPriority w:val="99"/>
    <w:semiHidden/>
    <w:rsid w:val="00071C2B"/>
    <w:rPr>
      <w:sz w:val="16"/>
      <w:szCs w:val="16"/>
    </w:rPr>
  </w:style>
  <w:style w:type="paragraph" w:customStyle="1" w:styleId="CouncilName">
    <w:name w:val="CouncilName"/>
    <w:basedOn w:val="Normal"/>
    <w:rsid w:val="00F278AE"/>
    <w:pPr>
      <w:jc w:val="center"/>
    </w:pPr>
    <w:rPr>
      <w:b/>
      <w:caps/>
      <w:szCs w:val="24"/>
      <w:u w:val="single"/>
    </w:rPr>
  </w:style>
  <w:style w:type="paragraph" w:customStyle="1" w:styleId="Meeting">
    <w:name w:val="Meeting"/>
    <w:basedOn w:val="CouncilName"/>
    <w:rsid w:val="00F278AE"/>
  </w:style>
  <w:style w:type="paragraph" w:customStyle="1" w:styleId="ReportTitle">
    <w:name w:val="Report Title"/>
    <w:basedOn w:val="Meeting"/>
    <w:rsid w:val="00F278AE"/>
  </w:style>
  <w:style w:type="paragraph" w:customStyle="1" w:styleId="ChiefOfficer">
    <w:name w:val="Chief Officer"/>
    <w:basedOn w:val="ReportTitle"/>
    <w:rsid w:val="00F278AE"/>
  </w:style>
  <w:style w:type="paragraph" w:customStyle="1" w:styleId="Contact">
    <w:name w:val="Contact"/>
    <w:basedOn w:val="ChiefOfficer"/>
    <w:rsid w:val="00F278AE"/>
    <w:rPr>
      <w:caps w:val="0"/>
      <w:u w:val="none"/>
    </w:rPr>
  </w:style>
  <w:style w:type="paragraph" w:styleId="Closing">
    <w:name w:val="Closing"/>
    <w:basedOn w:val="Normal"/>
    <w:pPr>
      <w:ind w:left="4252"/>
    </w:pPr>
  </w:style>
  <w:style w:type="paragraph" w:customStyle="1" w:styleId="ReportPara">
    <w:name w:val="Report Para"/>
    <w:basedOn w:val="Normal"/>
    <w:rsid w:val="005F46D5"/>
    <w:pPr>
      <w:numPr>
        <w:ilvl w:val="1"/>
        <w:numId w:val="1"/>
      </w:numPr>
      <w:spacing w:after="120"/>
    </w:pPr>
  </w:style>
  <w:style w:type="paragraph" w:styleId="Index4">
    <w:name w:val="index 4"/>
    <w:basedOn w:val="Normal"/>
    <w:next w:val="Normal"/>
    <w:autoRedefine/>
    <w:semiHidden/>
    <w:pPr>
      <w:ind w:left="960" w:hanging="240"/>
    </w:pPr>
  </w:style>
  <w:style w:type="paragraph" w:customStyle="1" w:styleId="ReportFooter">
    <w:name w:val="Report Footer"/>
    <w:basedOn w:val="Footer"/>
    <w:rsid w:val="00D121CF"/>
    <w:pPr>
      <w:jc w:val="center"/>
    </w:pPr>
    <w:rPr>
      <w:szCs w:val="22"/>
    </w:rPr>
  </w:style>
  <w:style w:type="paragraph" w:styleId="CommentText">
    <w:name w:val="annotation text"/>
    <w:basedOn w:val="Normal"/>
    <w:link w:val="CommentTextChar"/>
    <w:uiPriority w:val="99"/>
    <w:rsid w:val="00071C2B"/>
    <w:rPr>
      <w:sz w:val="20"/>
    </w:rPr>
  </w:style>
  <w:style w:type="paragraph" w:customStyle="1" w:styleId="Recommendations">
    <w:name w:val="Recommendations"/>
    <w:basedOn w:val="Normal"/>
    <w:rsid w:val="00885B78"/>
    <w:pPr>
      <w:spacing w:after="120"/>
    </w:pPr>
    <w:rPr>
      <w:szCs w:val="24"/>
    </w:rPr>
  </w:style>
  <w:style w:type="paragraph" w:customStyle="1" w:styleId="Exempt">
    <w:name w:val="Exempt"/>
    <w:basedOn w:val="Contact"/>
    <w:rPr>
      <w:caps/>
    </w:rPr>
  </w:style>
  <w:style w:type="paragraph" w:styleId="DocumentMap">
    <w:name w:val="Document Map"/>
    <w:basedOn w:val="Normal"/>
    <w:semiHidden/>
    <w:rsid w:val="00F278AE"/>
    <w:pPr>
      <w:shd w:val="clear" w:color="auto" w:fill="000080"/>
    </w:pPr>
    <w:rPr>
      <w:rFonts w:ascii="Tahoma" w:hAnsi="Tahoma" w:cs="Tahoma"/>
    </w:rPr>
  </w:style>
  <w:style w:type="paragraph" w:styleId="CommentSubject">
    <w:name w:val="annotation subject"/>
    <w:basedOn w:val="CommentText"/>
    <w:next w:val="CommentText"/>
    <w:semiHidden/>
    <w:rsid w:val="00071C2B"/>
    <w:rPr>
      <w:b/>
      <w:bCs/>
    </w:rPr>
  </w:style>
  <w:style w:type="paragraph" w:customStyle="1" w:styleId="ReportHeader">
    <w:name w:val="Report Header"/>
    <w:basedOn w:val="Header"/>
    <w:pPr>
      <w:jc w:val="right"/>
    </w:pPr>
    <w:rPr>
      <w:b/>
    </w:rPr>
  </w:style>
  <w:style w:type="paragraph" w:styleId="BalloonText">
    <w:name w:val="Balloon Text"/>
    <w:basedOn w:val="Normal"/>
    <w:semiHidden/>
    <w:rsid w:val="00071C2B"/>
    <w:rPr>
      <w:rFonts w:ascii="Tahoma" w:hAnsi="Tahoma" w:cs="Tahoma"/>
      <w:sz w:val="16"/>
      <w:szCs w:val="16"/>
    </w:rPr>
  </w:style>
  <w:style w:type="character" w:styleId="FollowedHyperlink">
    <w:name w:val="FollowedHyperlink"/>
    <w:rsid w:val="0031551B"/>
    <w:rPr>
      <w:color w:val="800080"/>
      <w:u w:val="single"/>
    </w:rPr>
  </w:style>
  <w:style w:type="table" w:styleId="TableGrid">
    <w:name w:val="Table Grid"/>
    <w:basedOn w:val="TableNormal"/>
    <w:uiPriority w:val="59"/>
    <w:rsid w:val="00E75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L"/>
    <w:basedOn w:val="Normal"/>
    <w:link w:val="ListParagraphChar"/>
    <w:uiPriority w:val="34"/>
    <w:qFormat/>
    <w:rsid w:val="009B66DF"/>
    <w:pPr>
      <w:ind w:left="720"/>
    </w:pPr>
  </w:style>
  <w:style w:type="character" w:customStyle="1" w:styleId="Heading2Char">
    <w:name w:val="Heading 2 Char"/>
    <w:basedOn w:val="DefaultParagraphFont"/>
    <w:link w:val="Heading2"/>
    <w:rsid w:val="00690E2D"/>
    <w:rPr>
      <w:rFonts w:ascii="Gill Sans MT" w:hAnsi="Gill Sans MT"/>
      <w:b/>
      <w:sz w:val="24"/>
    </w:rPr>
  </w:style>
  <w:style w:type="paragraph" w:customStyle="1" w:styleId="Default">
    <w:name w:val="Default"/>
    <w:rsid w:val="00696DD7"/>
    <w:pPr>
      <w:autoSpaceDE w:val="0"/>
      <w:autoSpaceDN w:val="0"/>
      <w:adjustRightInd w:val="0"/>
    </w:pPr>
    <w:rPr>
      <w:rFonts w:ascii="Arial" w:hAnsi="Arial" w:cs="Arial"/>
      <w:color w:val="000000"/>
      <w:sz w:val="24"/>
      <w:szCs w:val="24"/>
    </w:rPr>
  </w:style>
  <w:style w:type="table" w:customStyle="1" w:styleId="TableGrid2">
    <w:name w:val="Table Grid2"/>
    <w:basedOn w:val="TableNormal"/>
    <w:uiPriority w:val="39"/>
    <w:rsid w:val="00C23B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5080"/>
    <w:rPr>
      <w:rFonts w:ascii="Gill Sans MT" w:hAnsi="Gill Sans MT"/>
      <w:sz w:val="24"/>
    </w:rPr>
  </w:style>
  <w:style w:type="paragraph" w:styleId="NoSpacing">
    <w:name w:val="No Spacing"/>
    <w:link w:val="NoSpacingChar"/>
    <w:uiPriority w:val="1"/>
    <w:qFormat/>
    <w:rsid w:val="000379EA"/>
    <w:rPr>
      <w:rFonts w:ascii="Arial" w:eastAsiaTheme="minorHAnsi" w:hAnsi="Arial" w:cs="Arial"/>
      <w:sz w:val="24"/>
      <w:szCs w:val="24"/>
      <w:lang w:eastAsia="en-US"/>
    </w:rPr>
  </w:style>
  <w:style w:type="character" w:customStyle="1" w:styleId="NoSpacingChar">
    <w:name w:val="No Spacing Char"/>
    <w:basedOn w:val="DefaultParagraphFont"/>
    <w:link w:val="NoSpacing"/>
    <w:uiPriority w:val="1"/>
    <w:rsid w:val="000379EA"/>
    <w:rPr>
      <w:rFonts w:ascii="Arial" w:eastAsiaTheme="minorHAnsi" w:hAnsi="Arial" w:cs="Arial"/>
      <w:sz w:val="24"/>
      <w:szCs w:val="24"/>
      <w:lang w:eastAsia="en-US"/>
    </w:rPr>
  </w:style>
  <w:style w:type="character" w:customStyle="1" w:styleId="CommentTextChar">
    <w:name w:val="Comment Text Char"/>
    <w:basedOn w:val="DefaultParagraphFont"/>
    <w:link w:val="CommentText"/>
    <w:uiPriority w:val="99"/>
    <w:rsid w:val="000379EA"/>
    <w:rPr>
      <w:rFonts w:ascii="Gill Sans MT" w:hAnsi="Gill Sans MT"/>
    </w:rPr>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basedOn w:val="DefaultParagraphFont"/>
    <w:link w:val="ListParagraph"/>
    <w:uiPriority w:val="34"/>
    <w:qFormat/>
    <w:locked/>
    <w:rsid w:val="001042B8"/>
    <w:rPr>
      <w:rFonts w:ascii="Gill Sans MT" w:hAnsi="Gill Sans MT"/>
      <w:sz w:val="24"/>
    </w:rPr>
  </w:style>
  <w:style w:type="table" w:customStyle="1" w:styleId="TableGrid1">
    <w:name w:val="Table Grid1"/>
    <w:basedOn w:val="TableNormal"/>
    <w:next w:val="TableGrid"/>
    <w:uiPriority w:val="59"/>
    <w:rsid w:val="0031607E"/>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Left0cmHanging075cm">
    <w:name w:val="Style Numbered Left:  0 cm Hanging:  0.75 cm"/>
    <w:basedOn w:val="NoList"/>
    <w:rsid w:val="00526C26"/>
    <w:pPr>
      <w:numPr>
        <w:numId w:val="14"/>
      </w:numPr>
    </w:pPr>
  </w:style>
  <w:style w:type="paragraph" w:customStyle="1" w:styleId="Bulletpoints">
    <w:name w:val="Bullet points"/>
    <w:basedOn w:val="Normal"/>
    <w:link w:val="BulletpointsChar"/>
    <w:qFormat/>
    <w:rsid w:val="00526C26"/>
    <w:pPr>
      <w:numPr>
        <w:numId w:val="16"/>
      </w:numPr>
      <w:tabs>
        <w:tab w:val="left" w:pos="993"/>
      </w:tabs>
      <w:spacing w:after="120"/>
      <w:ind w:left="993" w:hanging="425"/>
    </w:pPr>
    <w:rPr>
      <w:color w:val="000000"/>
      <w:szCs w:val="24"/>
    </w:rPr>
  </w:style>
  <w:style w:type="character" w:customStyle="1" w:styleId="BulletpointsChar">
    <w:name w:val="Bullet points Char"/>
    <w:link w:val="Bulletpoints"/>
    <w:rsid w:val="00526C26"/>
    <w:rPr>
      <w:rFonts w:ascii="Arial" w:hAnsi="Arial"/>
      <w:color w:val="000000"/>
      <w:sz w:val="24"/>
      <w:szCs w:val="24"/>
    </w:rPr>
  </w:style>
  <w:style w:type="character" w:customStyle="1" w:styleId="Firstpagetablebold">
    <w:name w:val="First page table: bold"/>
    <w:qFormat/>
    <w:rsid w:val="00526C26"/>
    <w:rPr>
      <w:rFonts w:ascii="Arial" w:hAnsi="Arial"/>
      <w:b/>
      <w:sz w:val="24"/>
    </w:rPr>
  </w:style>
  <w:style w:type="paragraph" w:customStyle="1" w:styleId="bParagraphtext">
    <w:name w:val="bParagraph text"/>
    <w:basedOn w:val="ListParagraph"/>
    <w:link w:val="bParagraphtextChar"/>
    <w:qFormat/>
    <w:rsid w:val="00526C26"/>
    <w:pPr>
      <w:tabs>
        <w:tab w:val="left" w:pos="426"/>
      </w:tabs>
      <w:spacing w:after="120"/>
      <w:ind w:left="426" w:hanging="426"/>
    </w:pPr>
    <w:rPr>
      <w:color w:val="000000"/>
      <w:szCs w:val="24"/>
    </w:rPr>
  </w:style>
  <w:style w:type="character" w:customStyle="1" w:styleId="bParagraphtextChar">
    <w:name w:val="bParagraph text Char"/>
    <w:link w:val="bParagraphtext"/>
    <w:rsid w:val="00526C26"/>
    <w:rPr>
      <w:rFonts w:ascii="Arial" w:hAnsi="Arial"/>
      <w:color w:val="000000"/>
      <w:sz w:val="24"/>
      <w:szCs w:val="24"/>
    </w:rPr>
  </w:style>
  <w:style w:type="character" w:customStyle="1" w:styleId="HeaderChar">
    <w:name w:val="Header Char"/>
    <w:link w:val="Header"/>
    <w:uiPriority w:val="99"/>
    <w:rsid w:val="0062633F"/>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88E"/>
    <w:rPr>
      <w:rFonts w:ascii="Arial" w:hAnsi="Arial"/>
      <w:sz w:val="24"/>
    </w:rPr>
  </w:style>
  <w:style w:type="paragraph" w:styleId="Heading1">
    <w:name w:val="heading 1"/>
    <w:basedOn w:val="Normal"/>
    <w:next w:val="ReportPara"/>
    <w:qFormat/>
    <w:rsid w:val="005F46D5"/>
    <w:pPr>
      <w:keepNext/>
      <w:numPr>
        <w:numId w:val="1"/>
      </w:numPr>
      <w:spacing w:before="120" w:after="120"/>
      <w:outlineLvl w:val="0"/>
    </w:pPr>
    <w:rPr>
      <w:b/>
      <w:caps/>
      <w:kern w:val="32"/>
      <w:szCs w:val="24"/>
    </w:rPr>
  </w:style>
  <w:style w:type="paragraph" w:styleId="Heading2">
    <w:name w:val="heading 2"/>
    <w:basedOn w:val="Normal"/>
    <w:next w:val="ReportPara"/>
    <w:link w:val="Heading2Char"/>
    <w:qFormat/>
    <w:rsid w:val="000F0461"/>
    <w:pPr>
      <w:keepNext/>
      <w:spacing w:after="120"/>
      <w:ind w:left="360"/>
      <w:outlineLvl w:val="1"/>
    </w:pPr>
    <w:rPr>
      <w:b/>
    </w:rPr>
  </w:style>
  <w:style w:type="paragraph" w:styleId="Heading3">
    <w:name w:val="heading 3"/>
    <w:basedOn w:val="Normal"/>
    <w:next w:val="Normal"/>
    <w:qFormat/>
    <w:rsid w:val="00836FDD"/>
    <w:pPr>
      <w:spacing w:after="120"/>
      <w:jc w:val="right"/>
      <w:outlineLvl w:val="2"/>
    </w:pPr>
    <w:rPr>
      <w:b/>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rsid w:val="00795EB6"/>
    <w:pPr>
      <w:tabs>
        <w:tab w:val="center" w:pos="4320"/>
        <w:tab w:val="right" w:pos="8640"/>
      </w:tabs>
    </w:pPr>
    <w:rPr>
      <w:sz w:val="22"/>
    </w:rPr>
  </w:style>
  <w:style w:type="character" w:styleId="PageNumber">
    <w:name w:val="page number"/>
    <w:basedOn w:val="DefaultParagraphFont"/>
  </w:style>
  <w:style w:type="character" w:styleId="Hyperlink">
    <w:name w:val="Hyperlink"/>
    <w:rsid w:val="00F07205"/>
    <w:rPr>
      <w:color w:val="0000FF"/>
      <w:u w:val="single"/>
    </w:rPr>
  </w:style>
  <w:style w:type="character" w:styleId="CommentReference">
    <w:name w:val="annotation reference"/>
    <w:uiPriority w:val="99"/>
    <w:semiHidden/>
    <w:rsid w:val="00071C2B"/>
    <w:rPr>
      <w:sz w:val="16"/>
      <w:szCs w:val="16"/>
    </w:rPr>
  </w:style>
  <w:style w:type="paragraph" w:customStyle="1" w:styleId="CouncilName">
    <w:name w:val="CouncilName"/>
    <w:basedOn w:val="Normal"/>
    <w:rsid w:val="00F278AE"/>
    <w:pPr>
      <w:jc w:val="center"/>
    </w:pPr>
    <w:rPr>
      <w:b/>
      <w:caps/>
      <w:szCs w:val="24"/>
      <w:u w:val="single"/>
    </w:rPr>
  </w:style>
  <w:style w:type="paragraph" w:customStyle="1" w:styleId="Meeting">
    <w:name w:val="Meeting"/>
    <w:basedOn w:val="CouncilName"/>
    <w:rsid w:val="00F278AE"/>
  </w:style>
  <w:style w:type="paragraph" w:customStyle="1" w:styleId="ReportTitle">
    <w:name w:val="Report Title"/>
    <w:basedOn w:val="Meeting"/>
    <w:rsid w:val="00F278AE"/>
  </w:style>
  <w:style w:type="paragraph" w:customStyle="1" w:styleId="ChiefOfficer">
    <w:name w:val="Chief Officer"/>
    <w:basedOn w:val="ReportTitle"/>
    <w:rsid w:val="00F278AE"/>
  </w:style>
  <w:style w:type="paragraph" w:customStyle="1" w:styleId="Contact">
    <w:name w:val="Contact"/>
    <w:basedOn w:val="ChiefOfficer"/>
    <w:rsid w:val="00F278AE"/>
    <w:rPr>
      <w:caps w:val="0"/>
      <w:u w:val="none"/>
    </w:rPr>
  </w:style>
  <w:style w:type="paragraph" w:styleId="Closing">
    <w:name w:val="Closing"/>
    <w:basedOn w:val="Normal"/>
    <w:pPr>
      <w:ind w:left="4252"/>
    </w:pPr>
  </w:style>
  <w:style w:type="paragraph" w:customStyle="1" w:styleId="ReportPara">
    <w:name w:val="Report Para"/>
    <w:basedOn w:val="Normal"/>
    <w:rsid w:val="005F46D5"/>
    <w:pPr>
      <w:numPr>
        <w:ilvl w:val="1"/>
        <w:numId w:val="1"/>
      </w:numPr>
      <w:spacing w:after="120"/>
    </w:pPr>
  </w:style>
  <w:style w:type="paragraph" w:styleId="Index4">
    <w:name w:val="index 4"/>
    <w:basedOn w:val="Normal"/>
    <w:next w:val="Normal"/>
    <w:autoRedefine/>
    <w:semiHidden/>
    <w:pPr>
      <w:ind w:left="960" w:hanging="240"/>
    </w:pPr>
  </w:style>
  <w:style w:type="paragraph" w:customStyle="1" w:styleId="ReportFooter">
    <w:name w:val="Report Footer"/>
    <w:basedOn w:val="Footer"/>
    <w:rsid w:val="00D121CF"/>
    <w:pPr>
      <w:jc w:val="center"/>
    </w:pPr>
    <w:rPr>
      <w:szCs w:val="22"/>
    </w:rPr>
  </w:style>
  <w:style w:type="paragraph" w:styleId="CommentText">
    <w:name w:val="annotation text"/>
    <w:basedOn w:val="Normal"/>
    <w:link w:val="CommentTextChar"/>
    <w:uiPriority w:val="99"/>
    <w:rsid w:val="00071C2B"/>
    <w:rPr>
      <w:sz w:val="20"/>
    </w:rPr>
  </w:style>
  <w:style w:type="paragraph" w:customStyle="1" w:styleId="Recommendations">
    <w:name w:val="Recommendations"/>
    <w:basedOn w:val="Normal"/>
    <w:rsid w:val="00885B78"/>
    <w:pPr>
      <w:spacing w:after="120"/>
    </w:pPr>
    <w:rPr>
      <w:szCs w:val="24"/>
    </w:rPr>
  </w:style>
  <w:style w:type="paragraph" w:customStyle="1" w:styleId="Exempt">
    <w:name w:val="Exempt"/>
    <w:basedOn w:val="Contact"/>
    <w:rPr>
      <w:caps/>
    </w:rPr>
  </w:style>
  <w:style w:type="paragraph" w:styleId="DocumentMap">
    <w:name w:val="Document Map"/>
    <w:basedOn w:val="Normal"/>
    <w:semiHidden/>
    <w:rsid w:val="00F278AE"/>
    <w:pPr>
      <w:shd w:val="clear" w:color="auto" w:fill="000080"/>
    </w:pPr>
    <w:rPr>
      <w:rFonts w:ascii="Tahoma" w:hAnsi="Tahoma" w:cs="Tahoma"/>
    </w:rPr>
  </w:style>
  <w:style w:type="paragraph" w:styleId="CommentSubject">
    <w:name w:val="annotation subject"/>
    <w:basedOn w:val="CommentText"/>
    <w:next w:val="CommentText"/>
    <w:semiHidden/>
    <w:rsid w:val="00071C2B"/>
    <w:rPr>
      <w:b/>
      <w:bCs/>
    </w:rPr>
  </w:style>
  <w:style w:type="paragraph" w:customStyle="1" w:styleId="ReportHeader">
    <w:name w:val="Report Header"/>
    <w:basedOn w:val="Header"/>
    <w:pPr>
      <w:jc w:val="right"/>
    </w:pPr>
    <w:rPr>
      <w:b/>
    </w:rPr>
  </w:style>
  <w:style w:type="paragraph" w:styleId="BalloonText">
    <w:name w:val="Balloon Text"/>
    <w:basedOn w:val="Normal"/>
    <w:semiHidden/>
    <w:rsid w:val="00071C2B"/>
    <w:rPr>
      <w:rFonts w:ascii="Tahoma" w:hAnsi="Tahoma" w:cs="Tahoma"/>
      <w:sz w:val="16"/>
      <w:szCs w:val="16"/>
    </w:rPr>
  </w:style>
  <w:style w:type="character" w:styleId="FollowedHyperlink">
    <w:name w:val="FollowedHyperlink"/>
    <w:rsid w:val="0031551B"/>
    <w:rPr>
      <w:color w:val="800080"/>
      <w:u w:val="single"/>
    </w:rPr>
  </w:style>
  <w:style w:type="table" w:styleId="TableGrid">
    <w:name w:val="Table Grid"/>
    <w:basedOn w:val="TableNormal"/>
    <w:uiPriority w:val="59"/>
    <w:rsid w:val="00E75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L"/>
    <w:basedOn w:val="Normal"/>
    <w:link w:val="ListParagraphChar"/>
    <w:uiPriority w:val="34"/>
    <w:qFormat/>
    <w:rsid w:val="009B66DF"/>
    <w:pPr>
      <w:ind w:left="720"/>
    </w:pPr>
  </w:style>
  <w:style w:type="character" w:customStyle="1" w:styleId="Heading2Char">
    <w:name w:val="Heading 2 Char"/>
    <w:basedOn w:val="DefaultParagraphFont"/>
    <w:link w:val="Heading2"/>
    <w:rsid w:val="00690E2D"/>
    <w:rPr>
      <w:rFonts w:ascii="Gill Sans MT" w:hAnsi="Gill Sans MT"/>
      <w:b/>
      <w:sz w:val="24"/>
    </w:rPr>
  </w:style>
  <w:style w:type="paragraph" w:customStyle="1" w:styleId="Default">
    <w:name w:val="Default"/>
    <w:rsid w:val="00696DD7"/>
    <w:pPr>
      <w:autoSpaceDE w:val="0"/>
      <w:autoSpaceDN w:val="0"/>
      <w:adjustRightInd w:val="0"/>
    </w:pPr>
    <w:rPr>
      <w:rFonts w:ascii="Arial" w:hAnsi="Arial" w:cs="Arial"/>
      <w:color w:val="000000"/>
      <w:sz w:val="24"/>
      <w:szCs w:val="24"/>
    </w:rPr>
  </w:style>
  <w:style w:type="table" w:customStyle="1" w:styleId="TableGrid2">
    <w:name w:val="Table Grid2"/>
    <w:basedOn w:val="TableNormal"/>
    <w:uiPriority w:val="39"/>
    <w:rsid w:val="00C23B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5080"/>
    <w:rPr>
      <w:rFonts w:ascii="Gill Sans MT" w:hAnsi="Gill Sans MT"/>
      <w:sz w:val="24"/>
    </w:rPr>
  </w:style>
  <w:style w:type="paragraph" w:styleId="NoSpacing">
    <w:name w:val="No Spacing"/>
    <w:link w:val="NoSpacingChar"/>
    <w:uiPriority w:val="1"/>
    <w:qFormat/>
    <w:rsid w:val="000379EA"/>
    <w:rPr>
      <w:rFonts w:ascii="Arial" w:eastAsiaTheme="minorHAnsi" w:hAnsi="Arial" w:cs="Arial"/>
      <w:sz w:val="24"/>
      <w:szCs w:val="24"/>
      <w:lang w:eastAsia="en-US"/>
    </w:rPr>
  </w:style>
  <w:style w:type="character" w:customStyle="1" w:styleId="NoSpacingChar">
    <w:name w:val="No Spacing Char"/>
    <w:basedOn w:val="DefaultParagraphFont"/>
    <w:link w:val="NoSpacing"/>
    <w:uiPriority w:val="1"/>
    <w:rsid w:val="000379EA"/>
    <w:rPr>
      <w:rFonts w:ascii="Arial" w:eastAsiaTheme="minorHAnsi" w:hAnsi="Arial" w:cs="Arial"/>
      <w:sz w:val="24"/>
      <w:szCs w:val="24"/>
      <w:lang w:eastAsia="en-US"/>
    </w:rPr>
  </w:style>
  <w:style w:type="character" w:customStyle="1" w:styleId="CommentTextChar">
    <w:name w:val="Comment Text Char"/>
    <w:basedOn w:val="DefaultParagraphFont"/>
    <w:link w:val="CommentText"/>
    <w:uiPriority w:val="99"/>
    <w:rsid w:val="000379EA"/>
    <w:rPr>
      <w:rFonts w:ascii="Gill Sans MT" w:hAnsi="Gill Sans MT"/>
    </w:rPr>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basedOn w:val="DefaultParagraphFont"/>
    <w:link w:val="ListParagraph"/>
    <w:uiPriority w:val="34"/>
    <w:qFormat/>
    <w:locked/>
    <w:rsid w:val="001042B8"/>
    <w:rPr>
      <w:rFonts w:ascii="Gill Sans MT" w:hAnsi="Gill Sans MT"/>
      <w:sz w:val="24"/>
    </w:rPr>
  </w:style>
  <w:style w:type="table" w:customStyle="1" w:styleId="TableGrid1">
    <w:name w:val="Table Grid1"/>
    <w:basedOn w:val="TableNormal"/>
    <w:next w:val="TableGrid"/>
    <w:uiPriority w:val="59"/>
    <w:rsid w:val="0031607E"/>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Left0cmHanging075cm">
    <w:name w:val="Style Numbered Left:  0 cm Hanging:  0.75 cm"/>
    <w:basedOn w:val="NoList"/>
    <w:rsid w:val="00526C26"/>
    <w:pPr>
      <w:numPr>
        <w:numId w:val="14"/>
      </w:numPr>
    </w:pPr>
  </w:style>
  <w:style w:type="paragraph" w:customStyle="1" w:styleId="Bulletpoints">
    <w:name w:val="Bullet points"/>
    <w:basedOn w:val="Normal"/>
    <w:link w:val="BulletpointsChar"/>
    <w:qFormat/>
    <w:rsid w:val="00526C26"/>
    <w:pPr>
      <w:numPr>
        <w:numId w:val="16"/>
      </w:numPr>
      <w:tabs>
        <w:tab w:val="left" w:pos="993"/>
      </w:tabs>
      <w:spacing w:after="120"/>
      <w:ind w:left="993" w:hanging="425"/>
    </w:pPr>
    <w:rPr>
      <w:color w:val="000000"/>
      <w:szCs w:val="24"/>
    </w:rPr>
  </w:style>
  <w:style w:type="character" w:customStyle="1" w:styleId="BulletpointsChar">
    <w:name w:val="Bullet points Char"/>
    <w:link w:val="Bulletpoints"/>
    <w:rsid w:val="00526C26"/>
    <w:rPr>
      <w:rFonts w:ascii="Arial" w:hAnsi="Arial"/>
      <w:color w:val="000000"/>
      <w:sz w:val="24"/>
      <w:szCs w:val="24"/>
    </w:rPr>
  </w:style>
  <w:style w:type="character" w:customStyle="1" w:styleId="Firstpagetablebold">
    <w:name w:val="First page table: bold"/>
    <w:qFormat/>
    <w:rsid w:val="00526C26"/>
    <w:rPr>
      <w:rFonts w:ascii="Arial" w:hAnsi="Arial"/>
      <w:b/>
      <w:sz w:val="24"/>
    </w:rPr>
  </w:style>
  <w:style w:type="paragraph" w:customStyle="1" w:styleId="bParagraphtext">
    <w:name w:val="bParagraph text"/>
    <w:basedOn w:val="ListParagraph"/>
    <w:link w:val="bParagraphtextChar"/>
    <w:qFormat/>
    <w:rsid w:val="00526C26"/>
    <w:pPr>
      <w:tabs>
        <w:tab w:val="left" w:pos="426"/>
      </w:tabs>
      <w:spacing w:after="120"/>
      <w:ind w:left="426" w:hanging="426"/>
    </w:pPr>
    <w:rPr>
      <w:color w:val="000000"/>
      <w:szCs w:val="24"/>
    </w:rPr>
  </w:style>
  <w:style w:type="character" w:customStyle="1" w:styleId="bParagraphtextChar">
    <w:name w:val="bParagraph text Char"/>
    <w:link w:val="bParagraphtext"/>
    <w:rsid w:val="00526C26"/>
    <w:rPr>
      <w:rFonts w:ascii="Arial" w:hAnsi="Arial"/>
      <w:color w:val="000000"/>
      <w:sz w:val="24"/>
      <w:szCs w:val="24"/>
    </w:rPr>
  </w:style>
  <w:style w:type="character" w:customStyle="1" w:styleId="HeaderChar">
    <w:name w:val="Header Char"/>
    <w:link w:val="Header"/>
    <w:uiPriority w:val="99"/>
    <w:rsid w:val="0062633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026057">
      <w:bodyDiv w:val="1"/>
      <w:marLeft w:val="0"/>
      <w:marRight w:val="0"/>
      <w:marTop w:val="0"/>
      <w:marBottom w:val="0"/>
      <w:divBdr>
        <w:top w:val="none" w:sz="0" w:space="0" w:color="auto"/>
        <w:left w:val="none" w:sz="0" w:space="0" w:color="auto"/>
        <w:bottom w:val="none" w:sz="0" w:space="0" w:color="auto"/>
        <w:right w:val="none" w:sz="0" w:space="0" w:color="auto"/>
      </w:divBdr>
    </w:div>
    <w:div w:id="935210837">
      <w:bodyDiv w:val="1"/>
      <w:marLeft w:val="0"/>
      <w:marRight w:val="0"/>
      <w:marTop w:val="0"/>
      <w:marBottom w:val="0"/>
      <w:divBdr>
        <w:top w:val="none" w:sz="0" w:space="0" w:color="auto"/>
        <w:left w:val="none" w:sz="0" w:space="0" w:color="auto"/>
        <w:bottom w:val="none" w:sz="0" w:space="0" w:color="auto"/>
        <w:right w:val="none" w:sz="0" w:space="0" w:color="auto"/>
      </w:divBdr>
    </w:div>
    <w:div w:id="943028424">
      <w:bodyDiv w:val="1"/>
      <w:marLeft w:val="0"/>
      <w:marRight w:val="0"/>
      <w:marTop w:val="0"/>
      <w:marBottom w:val="0"/>
      <w:divBdr>
        <w:top w:val="none" w:sz="0" w:space="0" w:color="auto"/>
        <w:left w:val="none" w:sz="0" w:space="0" w:color="auto"/>
        <w:bottom w:val="none" w:sz="0" w:space="0" w:color="auto"/>
        <w:right w:val="none" w:sz="0" w:space="0" w:color="auto"/>
      </w:divBdr>
    </w:div>
    <w:div w:id="1003557538">
      <w:bodyDiv w:val="1"/>
      <w:marLeft w:val="0"/>
      <w:marRight w:val="0"/>
      <w:marTop w:val="0"/>
      <w:marBottom w:val="0"/>
      <w:divBdr>
        <w:top w:val="none" w:sz="0" w:space="0" w:color="auto"/>
        <w:left w:val="none" w:sz="0" w:space="0" w:color="auto"/>
        <w:bottom w:val="none" w:sz="0" w:space="0" w:color="auto"/>
        <w:right w:val="none" w:sz="0" w:space="0" w:color="auto"/>
      </w:divBdr>
    </w:div>
    <w:div w:id="1276056444">
      <w:bodyDiv w:val="1"/>
      <w:marLeft w:val="0"/>
      <w:marRight w:val="0"/>
      <w:marTop w:val="0"/>
      <w:marBottom w:val="0"/>
      <w:divBdr>
        <w:top w:val="none" w:sz="0" w:space="0" w:color="auto"/>
        <w:left w:val="none" w:sz="0" w:space="0" w:color="auto"/>
        <w:bottom w:val="none" w:sz="0" w:space="0" w:color="auto"/>
        <w:right w:val="none" w:sz="0" w:space="0" w:color="auto"/>
      </w:divBdr>
    </w:div>
    <w:div w:id="1398165685">
      <w:bodyDiv w:val="1"/>
      <w:marLeft w:val="0"/>
      <w:marRight w:val="0"/>
      <w:marTop w:val="0"/>
      <w:marBottom w:val="0"/>
      <w:divBdr>
        <w:top w:val="none" w:sz="0" w:space="0" w:color="auto"/>
        <w:left w:val="none" w:sz="0" w:space="0" w:color="auto"/>
        <w:bottom w:val="none" w:sz="0" w:space="0" w:color="auto"/>
        <w:right w:val="none" w:sz="0" w:space="0" w:color="auto"/>
      </w:divBdr>
    </w:div>
    <w:div w:id="189727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5"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24" Type="http://schemas.microsoft.com/office/2011/relationships/people" Target="peop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EA52F-3C89-4A5F-8AE8-7A7F95C7B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33F10772</Template>
  <TotalTime>1</TotalTime>
  <Pages>9</Pages>
  <Words>3518</Words>
  <Characters>19048</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1</vt:lpstr>
    </vt:vector>
  </TitlesOfParts>
  <Company>West Oxfordshire District Council</Company>
  <LinksUpToDate>false</LinksUpToDate>
  <CharactersWithSpaces>22521</CharactersWithSpaces>
  <SharedDoc>false</SharedDoc>
  <HLinks>
    <vt:vector size="6" baseType="variant">
      <vt:variant>
        <vt:i4>1441838</vt:i4>
      </vt:variant>
      <vt:variant>
        <vt:i4>0</vt:i4>
      </vt:variant>
      <vt:variant>
        <vt:i4>0</vt:i4>
      </vt:variant>
      <vt:variant>
        <vt:i4>5</vt:i4>
      </vt:variant>
      <vt:variant>
        <vt:lpwstr/>
      </vt:variant>
      <vt:variant>
        <vt:lpwstr>_Appendix</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mwillis</dc:creator>
  <cp:lastModifiedBy>jthompson</cp:lastModifiedBy>
  <cp:revision>3</cp:revision>
  <cp:lastPrinted>2018-02-02T09:54:00Z</cp:lastPrinted>
  <dcterms:created xsi:type="dcterms:W3CDTF">2018-02-05T17:48:00Z</dcterms:created>
  <dcterms:modified xsi:type="dcterms:W3CDTF">2018-02-05T17:51:00Z</dcterms:modified>
</cp:coreProperties>
</file>